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people.xml" ContentType="application/vnd.openxmlformats-officedocument.wordprocessingml.people+xml"/>
  <Override PartName="/word/commentsExtensible.xml" ContentType="application/vnd.openxmlformats-officedocument.wordprocessingml.commentsExtensi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168A3" w:rsidRDefault="007D57ED">
      <w:pPr>
        <w:spacing w:after="0" w:line="240" w:lineRule="auto"/>
        <w:rPr>
          <w:rFonts w:ascii="Calibri" w:eastAsia="Calibri" w:hAnsi="Calibri" w:cs="Calibri"/>
          <w:b/>
        </w:rPr>
      </w:pPr>
      <w:r>
        <w:t xml:space="preserve">     </w:t>
      </w:r>
    </w:p>
    <w:p w14:paraId="00000002" w14:textId="77777777" w:rsidR="00D168A3" w:rsidRDefault="00D168A3">
      <w:pPr>
        <w:spacing w:after="0" w:line="240" w:lineRule="auto"/>
        <w:rPr>
          <w:rFonts w:ascii="Calibri" w:eastAsia="Calibri" w:hAnsi="Calibri" w:cs="Calibri"/>
          <w:b/>
        </w:rPr>
      </w:pPr>
    </w:p>
    <w:p w14:paraId="00000003" w14:textId="77777777" w:rsidR="00D168A3" w:rsidRDefault="007D57ED">
      <w:pPr>
        <w:spacing w:after="0" w:line="240" w:lineRule="auto"/>
        <w:rPr>
          <w:rFonts w:ascii="Calibri" w:eastAsia="Calibri" w:hAnsi="Calibri" w:cs="Calibri"/>
          <w:b/>
          <w:sz w:val="28"/>
          <w:szCs w:val="28"/>
        </w:rPr>
      </w:pPr>
      <w:r>
        <w:rPr>
          <w:rFonts w:ascii="Calibri" w:eastAsia="Calibri" w:hAnsi="Calibri" w:cs="Calibri"/>
          <w:b/>
          <w:sz w:val="28"/>
          <w:szCs w:val="28"/>
        </w:rPr>
        <w:t>School-based distribution (SBD): Risk assessment and mitigation planning</w:t>
      </w:r>
    </w:p>
    <w:p w14:paraId="00000004" w14:textId="0C59C2D5" w:rsidR="00D168A3" w:rsidRDefault="007D57ED">
      <w:pPr>
        <w:spacing w:after="0" w:line="240" w:lineRule="auto"/>
        <w:rPr>
          <w:rFonts w:ascii="Calibri" w:eastAsia="Calibri" w:hAnsi="Calibri" w:cs="Calibri"/>
        </w:rPr>
      </w:pPr>
      <w:r>
        <w:rPr>
          <w:rFonts w:ascii="Calibri" w:eastAsia="Calibri" w:hAnsi="Calibri" w:cs="Calibri"/>
        </w:rPr>
        <w:t>V1. May 2025</w:t>
      </w:r>
    </w:p>
    <w:p w14:paraId="4F145506" w14:textId="77777777" w:rsidR="007D57ED" w:rsidRDefault="007D57ED">
      <w:pPr>
        <w:spacing w:after="0" w:line="240" w:lineRule="auto"/>
        <w:rPr>
          <w:rFonts w:ascii="Calibri" w:eastAsia="Calibri" w:hAnsi="Calibri" w:cs="Calibri"/>
        </w:rPr>
      </w:pPr>
    </w:p>
    <w:p w14:paraId="00000005" w14:textId="6A941C73" w:rsidR="00D168A3" w:rsidRDefault="007D57ED">
      <w:pPr>
        <w:spacing w:after="0" w:line="240" w:lineRule="auto"/>
        <w:rPr>
          <w:rFonts w:ascii="Calibri" w:eastAsia="Calibri" w:hAnsi="Calibri" w:cs="Calibri"/>
        </w:rPr>
      </w:pPr>
      <w:r>
        <w:rPr>
          <w:rFonts w:ascii="Calibri" w:eastAsia="Calibri" w:hAnsi="Calibri" w:cs="Calibri"/>
        </w:rPr>
        <w:t xml:space="preserve">As part of the overall strategy for </w:t>
      </w:r>
      <w:r>
        <w:rPr>
          <w:rFonts w:ascii="Calibri" w:eastAsia="Calibri" w:hAnsi="Calibri" w:cs="Calibri"/>
        </w:rPr>
        <w:t xml:space="preserve">continuous </w:t>
      </w:r>
      <w:r>
        <w:rPr>
          <w:rFonts w:ascii="Calibri" w:eastAsia="Calibri" w:hAnsi="Calibri" w:cs="Calibri"/>
        </w:rPr>
        <w:t xml:space="preserve">distribution </w:t>
      </w:r>
      <w:r>
        <w:rPr>
          <w:rFonts w:ascii="Calibri" w:eastAsia="Calibri" w:hAnsi="Calibri" w:cs="Calibri"/>
        </w:rPr>
        <w:t xml:space="preserve">of insecticide-treated nets (ITNs), a comprehensive risk assessment and mitigation plan is critical. This document outlines steps for ITN school-based distribution (SBD) in the identification of key risks, their potential impact and strategies to mitigate them effectively. An </w:t>
      </w:r>
      <w:commentRangeStart w:id="0"/>
      <w:r>
        <w:rPr>
          <w:rFonts w:ascii="Calibri" w:eastAsia="Calibri" w:hAnsi="Calibri" w:cs="Calibri"/>
        </w:rPr>
        <w:t xml:space="preserve">adaptable tool </w:t>
      </w:r>
      <w:commentRangeEnd w:id="0"/>
      <w:r>
        <w:commentReference w:id="0"/>
      </w:r>
      <w:r>
        <w:rPr>
          <w:rFonts w:ascii="Calibri" w:eastAsia="Calibri" w:hAnsi="Calibri" w:cs="Calibri"/>
        </w:rPr>
        <w:t xml:space="preserve">(Excel), available for download, accompanies this guidance document. </w:t>
      </w:r>
    </w:p>
    <w:p w14:paraId="00000006" w14:textId="77777777" w:rsidR="00D168A3" w:rsidRDefault="00D168A3">
      <w:pPr>
        <w:spacing w:after="0" w:line="240" w:lineRule="auto"/>
        <w:rPr>
          <w:rFonts w:ascii="Calibri" w:eastAsia="Calibri" w:hAnsi="Calibri" w:cs="Calibri"/>
        </w:rPr>
      </w:pPr>
    </w:p>
    <w:p w14:paraId="00000007" w14:textId="77777777" w:rsidR="00D168A3" w:rsidRDefault="007D57ED">
      <w:pPr>
        <w:widowControl w:val="0"/>
        <w:spacing w:after="0" w:line="240" w:lineRule="auto"/>
        <w:rPr>
          <w:rFonts w:ascii="Calibri" w:eastAsia="Calibri" w:hAnsi="Calibri" w:cs="Calibri"/>
          <w:b/>
          <w:sz w:val="24"/>
          <w:szCs w:val="24"/>
        </w:rPr>
      </w:pPr>
      <w:r>
        <w:rPr>
          <w:rFonts w:ascii="Calibri" w:eastAsia="Calibri" w:hAnsi="Calibri" w:cs="Calibri"/>
          <w:b/>
          <w:sz w:val="24"/>
          <w:szCs w:val="24"/>
        </w:rPr>
        <w:t>1.</w:t>
      </w:r>
      <w:r>
        <w:rPr>
          <w:rFonts w:ascii="Calibri" w:eastAsia="Calibri" w:hAnsi="Calibri" w:cs="Calibri"/>
          <w:b/>
          <w:sz w:val="24"/>
          <w:szCs w:val="24"/>
        </w:rPr>
        <w:tab/>
        <w:t>Risk and ITN distribution through schools</w:t>
      </w:r>
    </w:p>
    <w:p w14:paraId="00000008" w14:textId="77777777" w:rsidR="00D168A3" w:rsidRDefault="007D57ED">
      <w:pPr>
        <w:widowControl w:val="0"/>
        <w:spacing w:after="0" w:line="240" w:lineRule="auto"/>
        <w:rPr>
          <w:rFonts w:ascii="Calibri" w:eastAsia="Calibri" w:hAnsi="Calibri" w:cs="Calibri"/>
        </w:rPr>
      </w:pPr>
      <w:r>
        <w:rPr>
          <w:rFonts w:ascii="Calibri" w:eastAsia="Calibri" w:hAnsi="Calibri" w:cs="Calibri"/>
        </w:rPr>
        <w:t xml:space="preserve">Risk can be defined in multiple ways. The UNESCO </w:t>
      </w:r>
      <w:hyperlink r:id="rId11">
        <w:r>
          <w:rPr>
            <w:rFonts w:ascii="Calibri" w:eastAsia="Calibri" w:hAnsi="Calibri" w:cs="Calibri"/>
            <w:color w:val="0563C1"/>
            <w:u w:val="single"/>
          </w:rPr>
          <w:t>Risk Management Training Handbook</w:t>
        </w:r>
      </w:hyperlink>
      <w:r>
        <w:rPr>
          <w:rFonts w:ascii="Calibri" w:eastAsia="Calibri" w:hAnsi="Calibri" w:cs="Calibri"/>
        </w:rPr>
        <w:t xml:space="preserve"> (2010) provides the following simple definition: </w:t>
      </w:r>
    </w:p>
    <w:p w14:paraId="00000009" w14:textId="77777777" w:rsidR="00D168A3" w:rsidRDefault="00D168A3">
      <w:pPr>
        <w:widowControl w:val="0"/>
        <w:spacing w:after="0" w:line="240" w:lineRule="auto"/>
        <w:rPr>
          <w:rFonts w:ascii="Calibri" w:eastAsia="Calibri" w:hAnsi="Calibri" w:cs="Calibri"/>
        </w:rPr>
      </w:pPr>
    </w:p>
    <w:p w14:paraId="0000000A" w14:textId="77777777" w:rsidR="00D168A3" w:rsidRDefault="007D57ED">
      <w:pPr>
        <w:widowControl w:val="0"/>
        <w:spacing w:after="0" w:line="240" w:lineRule="auto"/>
        <w:rPr>
          <w:rFonts w:ascii="Calibri" w:eastAsia="Calibri" w:hAnsi="Calibri" w:cs="Calibri"/>
        </w:rPr>
      </w:pPr>
      <w:r>
        <w:rPr>
          <w:rFonts w:ascii="Calibri" w:eastAsia="Calibri" w:hAnsi="Calibri" w:cs="Calibri"/>
        </w:rPr>
        <w:t>“Risk is the expression of the likelihood and impact of an uncertain, sudden and extreme event that, if it occurs, may impact positively (opportunity) or negatively (threat) on the achievement of a project or programme objective” (p. 12). This can be summarized as:</w:t>
      </w:r>
    </w:p>
    <w:p w14:paraId="0000000B" w14:textId="77777777" w:rsidR="00D168A3" w:rsidRDefault="00D168A3">
      <w:pPr>
        <w:widowControl w:val="0"/>
        <w:spacing w:after="0" w:line="240" w:lineRule="auto"/>
        <w:rPr>
          <w:rFonts w:ascii="Calibri" w:eastAsia="Calibri" w:hAnsi="Calibri" w:cs="Calibri"/>
        </w:rPr>
      </w:pPr>
    </w:p>
    <w:tbl>
      <w:tblPr>
        <w:tblStyle w:val="a3"/>
        <w:tblW w:w="6730" w:type="dxa"/>
        <w:tblInd w:w="1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30"/>
      </w:tblGrid>
      <w:tr w:rsidR="00D168A3" w14:paraId="0DF07937" w14:textId="77777777">
        <w:trPr>
          <w:trHeight w:val="309"/>
        </w:trPr>
        <w:tc>
          <w:tcPr>
            <w:tcW w:w="6730" w:type="dxa"/>
            <w:vAlign w:val="center"/>
          </w:tcPr>
          <w:p w14:paraId="0000000C" w14:textId="03E7FBD6" w:rsidR="00D168A3" w:rsidRDefault="007D57ED">
            <w:pPr>
              <w:spacing w:after="0" w:line="240" w:lineRule="auto"/>
              <w:rPr>
                <w:rFonts w:ascii="Calibri" w:eastAsia="Calibri" w:hAnsi="Calibri" w:cs="Calibri"/>
                <w:b/>
              </w:rPr>
            </w:pPr>
            <w:r>
              <w:rPr>
                <w:rFonts w:ascii="Calibri" w:eastAsia="Calibri" w:hAnsi="Calibri" w:cs="Calibri"/>
                <w:b/>
              </w:rPr>
              <w:t>Risk = Likelihood x Impact</w:t>
            </w:r>
          </w:p>
        </w:tc>
      </w:tr>
    </w:tbl>
    <w:p w14:paraId="0000000D" w14:textId="77777777" w:rsidR="00D168A3" w:rsidRDefault="00D168A3">
      <w:pPr>
        <w:widowControl w:val="0"/>
        <w:spacing w:after="0" w:line="240" w:lineRule="auto"/>
        <w:rPr>
          <w:rFonts w:ascii="Calibri" w:eastAsia="Calibri" w:hAnsi="Calibri" w:cs="Calibri"/>
        </w:rPr>
      </w:pPr>
    </w:p>
    <w:p w14:paraId="0000000E" w14:textId="77777777" w:rsidR="00D168A3" w:rsidRDefault="007D57ED">
      <w:pPr>
        <w:widowControl w:val="0"/>
        <w:spacing w:after="0" w:line="240" w:lineRule="auto"/>
        <w:rPr>
          <w:rFonts w:ascii="Calibri" w:eastAsia="Calibri" w:hAnsi="Calibri" w:cs="Calibri"/>
          <w:b/>
        </w:rPr>
      </w:pPr>
      <w:r>
        <w:rPr>
          <w:rFonts w:ascii="Calibri" w:eastAsia="Calibri" w:hAnsi="Calibri" w:cs="Calibri"/>
          <w:b/>
        </w:rPr>
        <w:t xml:space="preserve">Why manage risk? </w:t>
      </w:r>
    </w:p>
    <w:p w14:paraId="0000000F" w14:textId="77777777" w:rsidR="00D168A3" w:rsidRDefault="007D57ED">
      <w:pPr>
        <w:widowControl w:val="0"/>
        <w:spacing w:after="0" w:line="240" w:lineRule="auto"/>
        <w:rPr>
          <w:rFonts w:ascii="Calibri" w:eastAsia="Calibri" w:hAnsi="Calibri" w:cs="Calibri"/>
        </w:rPr>
      </w:pPr>
      <w:r>
        <w:rPr>
          <w:rFonts w:ascii="Calibri" w:eastAsia="Calibri" w:hAnsi="Calibri" w:cs="Calibri"/>
        </w:rPr>
        <w:t>The focus of this document is on the negative impacts, or threats, posed by identifiable risks. The purpose of risk identification and analysis is to proactively prepare risk mitigation, with the intention of reducing adverse effects by taking steps to decrease the likelihood of a risk event occurring, and/or reduce impact if it does occur. For example, risk mitigation can help minimize potential negative impacts on the different interlocking aspects of the ITN distribution, such as poor road conditions lea</w:t>
      </w:r>
      <w:r>
        <w:rPr>
          <w:rFonts w:ascii="Calibri" w:eastAsia="Calibri" w:hAnsi="Calibri" w:cs="Calibri"/>
        </w:rPr>
        <w:t xml:space="preserve">ding to transport and delivery delays, or the exclusion of secondary schools from the target population. Identifying these early and developing mitigating measures early in SBD planning is crucial for successful implementation. </w:t>
      </w:r>
    </w:p>
    <w:p w14:paraId="00000010" w14:textId="77777777" w:rsidR="00D168A3" w:rsidRDefault="00D168A3">
      <w:pPr>
        <w:widowControl w:val="0"/>
        <w:spacing w:after="0" w:line="240" w:lineRule="auto"/>
        <w:rPr>
          <w:rFonts w:ascii="Calibri" w:eastAsia="Calibri" w:hAnsi="Calibri" w:cs="Calibri"/>
        </w:rPr>
      </w:pPr>
    </w:p>
    <w:p w14:paraId="00000011" w14:textId="0C58242C" w:rsidR="00D168A3" w:rsidRDefault="007D57ED">
      <w:pPr>
        <w:widowControl w:val="0"/>
        <w:spacing w:after="0" w:line="240" w:lineRule="auto"/>
        <w:rPr>
          <w:rFonts w:ascii="Calibri" w:eastAsia="Calibri" w:hAnsi="Calibri" w:cs="Calibri"/>
        </w:rPr>
      </w:pPr>
      <w:r>
        <w:rPr>
          <w:rFonts w:ascii="Calibri" w:eastAsia="Calibri" w:hAnsi="Calibri" w:cs="Calibri"/>
        </w:rPr>
        <w:t xml:space="preserve">Table </w:t>
      </w:r>
      <w:r>
        <w:rPr>
          <w:rFonts w:ascii="Calibri" w:eastAsia="Calibri" w:hAnsi="Calibri" w:cs="Calibri"/>
        </w:rPr>
        <w:t xml:space="preserve">1 </w:t>
      </w:r>
      <w:r>
        <w:rPr>
          <w:rFonts w:ascii="Calibri" w:eastAsia="Calibri" w:hAnsi="Calibri" w:cs="Calibri"/>
        </w:rPr>
        <w:t>below details some broad categories of risk to consider, along with specific examples:</w:t>
      </w:r>
    </w:p>
    <w:p w14:paraId="00000012" w14:textId="064FFDD1" w:rsidR="00D168A3" w:rsidRDefault="00D168A3">
      <w:pPr>
        <w:spacing w:after="0" w:line="240" w:lineRule="auto"/>
        <w:rPr>
          <w:rFonts w:ascii="Calibri" w:eastAsia="Calibri" w:hAnsi="Calibri" w:cs="Calibri"/>
        </w:rPr>
      </w:pPr>
    </w:p>
    <w:p w14:paraId="00000013" w14:textId="4D495BC6" w:rsidR="00D168A3" w:rsidRDefault="007D57ED">
      <w:pPr>
        <w:widowControl w:val="0"/>
        <w:spacing w:after="0" w:line="240" w:lineRule="auto"/>
        <w:rPr>
          <w:rFonts w:ascii="Calibri" w:eastAsia="Calibri" w:hAnsi="Calibri" w:cs="Calibri"/>
        </w:rPr>
      </w:pPr>
      <w:r>
        <w:rPr>
          <w:rFonts w:ascii="Calibri" w:eastAsia="Calibri" w:hAnsi="Calibri" w:cs="Calibri"/>
          <w:i/>
          <w:sz w:val="18"/>
          <w:szCs w:val="18"/>
        </w:rPr>
        <w:t xml:space="preserve">Table 1: Categories of </w:t>
      </w:r>
      <w:r>
        <w:rPr>
          <w:rFonts w:ascii="Calibri" w:eastAsia="Calibri" w:hAnsi="Calibri" w:cs="Calibri"/>
          <w:i/>
          <w:sz w:val="18"/>
          <w:szCs w:val="18"/>
        </w:rPr>
        <w:t>risk</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9"/>
        <w:gridCol w:w="6521"/>
      </w:tblGrid>
      <w:tr w:rsidR="00D168A3" w:rsidRPr="00DF4E36" w14:paraId="106CC0B0" w14:textId="77777777">
        <w:tc>
          <w:tcPr>
            <w:tcW w:w="2829" w:type="dxa"/>
            <w:shd w:val="clear" w:color="auto" w:fill="auto"/>
          </w:tcPr>
          <w:p w14:paraId="00000014" w14:textId="77777777" w:rsidR="00D168A3" w:rsidRPr="00DF4E36" w:rsidRDefault="007D57ED">
            <w:pPr>
              <w:widowControl w:val="0"/>
              <w:spacing w:after="0" w:line="240" w:lineRule="auto"/>
              <w:rPr>
                <w:rFonts w:ascii="Calibri" w:eastAsia="Calibri" w:hAnsi="Calibri" w:cs="Calibri"/>
                <w:b/>
              </w:rPr>
            </w:pPr>
            <w:r w:rsidRPr="00DF4E36">
              <w:rPr>
                <w:rFonts w:ascii="Calibri" w:eastAsia="Calibri" w:hAnsi="Calibri" w:cs="Calibri"/>
                <w:b/>
              </w:rPr>
              <w:t>Category</w:t>
            </w:r>
          </w:p>
        </w:tc>
        <w:tc>
          <w:tcPr>
            <w:tcW w:w="6521" w:type="dxa"/>
            <w:shd w:val="clear" w:color="auto" w:fill="auto"/>
          </w:tcPr>
          <w:p w14:paraId="00000015" w14:textId="77777777" w:rsidR="00D168A3" w:rsidRPr="00DF4E36" w:rsidRDefault="007D57ED">
            <w:pPr>
              <w:widowControl w:val="0"/>
              <w:spacing w:after="0" w:line="240" w:lineRule="auto"/>
              <w:rPr>
                <w:rFonts w:ascii="Calibri" w:eastAsia="Calibri" w:hAnsi="Calibri" w:cs="Calibri"/>
                <w:b/>
              </w:rPr>
            </w:pPr>
            <w:r w:rsidRPr="00DF4E36">
              <w:rPr>
                <w:rFonts w:ascii="Calibri" w:eastAsia="Calibri" w:hAnsi="Calibri" w:cs="Calibri"/>
                <w:b/>
              </w:rPr>
              <w:t>Examples</w:t>
            </w:r>
          </w:p>
        </w:tc>
      </w:tr>
      <w:tr w:rsidR="00D168A3" w:rsidRPr="00DF4E36" w14:paraId="7160BA2D" w14:textId="77777777">
        <w:trPr>
          <w:trHeight w:val="884"/>
        </w:trPr>
        <w:tc>
          <w:tcPr>
            <w:tcW w:w="2829" w:type="dxa"/>
            <w:shd w:val="clear" w:color="auto" w:fill="auto"/>
          </w:tcPr>
          <w:p w14:paraId="00000016"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Strategic factors:</w:t>
            </w:r>
          </w:p>
          <w:p w14:paraId="00000017"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 xml:space="preserve">Risks that affect the entire strategy planned for the campaign </w:t>
            </w:r>
          </w:p>
        </w:tc>
        <w:tc>
          <w:tcPr>
            <w:tcW w:w="6521" w:type="dxa"/>
            <w:shd w:val="clear" w:color="auto" w:fill="auto"/>
          </w:tcPr>
          <w:p w14:paraId="00000018" w14:textId="2AA4AA0B"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 xml:space="preserve">Scaling up SBD with a </w:t>
            </w:r>
            <w:r w:rsidRPr="00DF4E36">
              <w:rPr>
                <w:rFonts w:ascii="Calibri" w:eastAsia="Calibri" w:hAnsi="Calibri" w:cs="Calibri"/>
              </w:rPr>
              <w:t>limited number of competent partners</w:t>
            </w:r>
            <w:r w:rsidRPr="00DF4E36">
              <w:rPr>
                <w:rFonts w:ascii="Calibri" w:eastAsia="Calibri" w:hAnsi="Calibri" w:cs="Calibri"/>
              </w:rPr>
              <w:t xml:space="preserve"> to support the expansion.</w:t>
            </w:r>
          </w:p>
          <w:p w14:paraId="00000019" w14:textId="2C707351"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 xml:space="preserve">Misalignment </w:t>
            </w:r>
            <w:r w:rsidRPr="00DF4E36">
              <w:rPr>
                <w:rFonts w:ascii="Calibri" w:eastAsia="Calibri" w:hAnsi="Calibri" w:cs="Calibri"/>
              </w:rPr>
              <w:t xml:space="preserve">with the school </w:t>
            </w:r>
            <w:r w:rsidRPr="00DF4E36">
              <w:rPr>
                <w:rFonts w:ascii="Calibri" w:eastAsia="Calibri" w:hAnsi="Calibri" w:cs="Calibri"/>
              </w:rPr>
              <w:t xml:space="preserve">calendar (e.g. SBD </w:t>
            </w:r>
            <w:r w:rsidRPr="00DF4E36">
              <w:rPr>
                <w:rFonts w:ascii="Calibri" w:eastAsia="Calibri" w:hAnsi="Calibri" w:cs="Calibri"/>
              </w:rPr>
              <w:t>planned during exams).</w:t>
            </w:r>
          </w:p>
        </w:tc>
      </w:tr>
      <w:tr w:rsidR="00D168A3" w:rsidRPr="00DF4E36" w14:paraId="230D261E" w14:textId="77777777">
        <w:tc>
          <w:tcPr>
            <w:tcW w:w="2829" w:type="dxa"/>
            <w:shd w:val="clear" w:color="auto" w:fill="auto"/>
          </w:tcPr>
          <w:p w14:paraId="0000001A"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Operational factors:</w:t>
            </w:r>
          </w:p>
          <w:p w14:paraId="0000001B"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Risks that affect, in part or wholly, ability to implement the operation as planned</w:t>
            </w:r>
          </w:p>
        </w:tc>
        <w:tc>
          <w:tcPr>
            <w:tcW w:w="6521" w:type="dxa"/>
            <w:shd w:val="clear" w:color="auto" w:fill="auto"/>
          </w:tcPr>
          <w:p w14:paraId="0000001C"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Insufficient budget coverage for all operational aspects.</w:t>
            </w:r>
          </w:p>
          <w:p w14:paraId="0000001D"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Inadequate storage, transport or personnel to execute the plan effectively.</w:t>
            </w:r>
          </w:p>
          <w:p w14:paraId="0000001E"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Unrealistic expectations of operational capacity, leading to delays and failures.</w:t>
            </w:r>
          </w:p>
          <w:p w14:paraId="0000001F" w14:textId="497DEA45"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Change in context of area being served, e.g. insecurity, natural or man-made disaster.</w:t>
            </w:r>
          </w:p>
        </w:tc>
      </w:tr>
      <w:tr w:rsidR="00D168A3" w:rsidRPr="00DF4E36" w14:paraId="366E9262" w14:textId="77777777">
        <w:tc>
          <w:tcPr>
            <w:tcW w:w="2829" w:type="dxa"/>
            <w:shd w:val="clear" w:color="auto" w:fill="auto"/>
          </w:tcPr>
          <w:p w14:paraId="00000020"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Financial factors:</w:t>
            </w:r>
          </w:p>
          <w:p w14:paraId="00000021"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lastRenderedPageBreak/>
              <w:t>Risks associated with budget and financing</w:t>
            </w:r>
          </w:p>
        </w:tc>
        <w:tc>
          <w:tcPr>
            <w:tcW w:w="6521" w:type="dxa"/>
            <w:shd w:val="clear" w:color="auto" w:fill="auto"/>
          </w:tcPr>
          <w:p w14:paraId="00000022"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lastRenderedPageBreak/>
              <w:t>Underestimated budgets that do not reflect real costs.</w:t>
            </w:r>
          </w:p>
          <w:p w14:paraId="00000023"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lastRenderedPageBreak/>
              <w:t xml:space="preserve">Delays in receipt of funding, leading to delayed procurement. </w:t>
            </w:r>
          </w:p>
          <w:p w14:paraId="00000024"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Exchange rate fluctuations affecting costs.</w:t>
            </w:r>
          </w:p>
          <w:p w14:paraId="00000025" w14:textId="3B8A1EAD"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Delays in customs clearance leading to demurrage charges.</w:t>
            </w:r>
          </w:p>
          <w:p w14:paraId="00000026"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 xml:space="preserve">Storage cost increases due to campaign implementation delays. </w:t>
            </w:r>
          </w:p>
          <w:p w14:paraId="00000027"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 xml:space="preserve">Inadequate warehouse security, leading to theft or loss of ITNs. </w:t>
            </w:r>
          </w:p>
          <w:p w14:paraId="00000028" w14:textId="286D21E6"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Poor record-keeping, r</w:t>
            </w:r>
            <w:r w:rsidRPr="00DF4E36">
              <w:rPr>
                <w:rFonts w:ascii="Calibri" w:eastAsia="Calibri" w:hAnsi="Calibri" w:cs="Calibri"/>
              </w:rPr>
              <w:t xml:space="preserve">esulting in accountability </w:t>
            </w:r>
            <w:r w:rsidRPr="00DF4E36">
              <w:rPr>
                <w:rFonts w:ascii="Calibri" w:eastAsia="Calibri" w:hAnsi="Calibri" w:cs="Calibri"/>
              </w:rPr>
              <w:t>issues</w:t>
            </w:r>
            <w:r w:rsidRPr="00DF4E36">
              <w:rPr>
                <w:rFonts w:ascii="Calibri" w:eastAsia="Calibri" w:hAnsi="Calibri" w:cs="Calibri"/>
              </w:rPr>
              <w:t>.</w:t>
            </w:r>
          </w:p>
          <w:p w14:paraId="00000029"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Mismanagement and waste of available resources.</w:t>
            </w:r>
          </w:p>
        </w:tc>
      </w:tr>
      <w:tr w:rsidR="00D168A3" w:rsidRPr="00DF4E36" w14:paraId="4AF289D9" w14:textId="77777777">
        <w:tc>
          <w:tcPr>
            <w:tcW w:w="2829" w:type="dxa"/>
            <w:shd w:val="clear" w:color="auto" w:fill="auto"/>
          </w:tcPr>
          <w:p w14:paraId="0000002A"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lastRenderedPageBreak/>
              <w:t>Compliance risk:</w:t>
            </w:r>
          </w:p>
          <w:p w14:paraId="0000002B"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Risks associated with legal penalties when there are actions not in accordance with laws, regulations or internal policies</w:t>
            </w:r>
          </w:p>
        </w:tc>
        <w:tc>
          <w:tcPr>
            <w:tcW w:w="6521" w:type="dxa"/>
            <w:shd w:val="clear" w:color="auto" w:fill="auto"/>
          </w:tcPr>
          <w:p w14:paraId="0000002C"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Improper financial disbursement and justification processes.</w:t>
            </w:r>
          </w:p>
          <w:p w14:paraId="0000002D"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 xml:space="preserve">Use of incorrect contract templates or procurement procedures. </w:t>
            </w:r>
          </w:p>
          <w:p w14:paraId="0000002E"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Failure to follow legal procurement procedures for local or international sourcing.</w:t>
            </w:r>
          </w:p>
        </w:tc>
      </w:tr>
    </w:tbl>
    <w:p w14:paraId="0000002F" w14:textId="77777777" w:rsidR="00D168A3" w:rsidRDefault="00D168A3">
      <w:pPr>
        <w:widowControl w:val="0"/>
        <w:spacing w:after="0" w:line="240" w:lineRule="auto"/>
        <w:rPr>
          <w:rFonts w:ascii="Calibri" w:eastAsia="Calibri" w:hAnsi="Calibri" w:cs="Calibri"/>
        </w:rPr>
      </w:pPr>
    </w:p>
    <w:p w14:paraId="00000030" w14:textId="7104C144" w:rsidR="00D168A3" w:rsidRDefault="007D57ED">
      <w:pPr>
        <w:widowControl w:val="0"/>
        <w:spacing w:after="0" w:line="240" w:lineRule="auto"/>
        <w:rPr>
          <w:rFonts w:ascii="Calibri" w:eastAsia="Calibri" w:hAnsi="Calibri" w:cs="Calibri"/>
        </w:rPr>
      </w:pPr>
      <w:r>
        <w:rPr>
          <w:rFonts w:ascii="Calibri" w:eastAsia="Calibri" w:hAnsi="Calibri" w:cs="Calibri"/>
          <w:b/>
        </w:rPr>
        <w:t>Note</w:t>
      </w:r>
      <w:r>
        <w:rPr>
          <w:rFonts w:ascii="Calibri" w:eastAsia="Calibri" w:hAnsi="Calibri" w:cs="Calibri"/>
        </w:rPr>
        <w:t xml:space="preserve">: Some risks may fall into multiple categories. Countries may also add other categories based on context. </w:t>
      </w:r>
      <w:r>
        <w:rPr>
          <w:rFonts w:ascii="Calibri" w:eastAsia="Calibri" w:hAnsi="Calibri" w:cs="Calibri"/>
        </w:rPr>
        <w:t>For example, the risk of theft or misappropriation of ITNs before distribution may be classified as “reputational” where the risk might lead to reputational damage to particular partners, in addition to the operational outcome of fewer ITNs for distribution (assuming lost ITNs are not recovered).</w:t>
      </w:r>
      <w:r>
        <w:rPr>
          <w:rFonts w:ascii="Calibri" w:eastAsia="Calibri" w:hAnsi="Calibri" w:cs="Calibri"/>
        </w:rPr>
        <w:t xml:space="preserve"> </w:t>
      </w:r>
      <w:r>
        <w:rPr>
          <w:rFonts w:ascii="Calibri" w:eastAsia="Calibri" w:hAnsi="Calibri" w:cs="Calibri"/>
        </w:rPr>
        <w:t xml:space="preserve"> </w:t>
      </w:r>
    </w:p>
    <w:p w14:paraId="00000031" w14:textId="77777777" w:rsidR="00D168A3" w:rsidRDefault="00D168A3">
      <w:pPr>
        <w:widowControl w:val="0"/>
        <w:spacing w:after="0" w:line="240" w:lineRule="auto"/>
        <w:rPr>
          <w:rFonts w:ascii="Calibri" w:eastAsia="Calibri" w:hAnsi="Calibri" w:cs="Calibri"/>
        </w:rPr>
      </w:pPr>
    </w:p>
    <w:p w14:paraId="00000032" w14:textId="314E3256" w:rsidR="00D168A3" w:rsidRDefault="007D57ED">
      <w:pPr>
        <w:spacing w:after="0" w:line="240" w:lineRule="auto"/>
        <w:rPr>
          <w:rFonts w:ascii="Calibri" w:eastAsia="Calibri" w:hAnsi="Calibri" w:cs="Calibri"/>
          <w:b/>
        </w:rPr>
      </w:pPr>
      <w:r>
        <w:rPr>
          <w:rFonts w:ascii="Calibri" w:eastAsia="Calibri" w:hAnsi="Calibri" w:cs="Calibri"/>
          <w:b/>
        </w:rPr>
        <w:t>Components of risk: likelihood and impact</w:t>
      </w:r>
    </w:p>
    <w:p w14:paraId="00000033" w14:textId="5E56BC82" w:rsidR="00D168A3" w:rsidRDefault="007D57ED">
      <w:pPr>
        <w:spacing w:after="0" w:line="240" w:lineRule="auto"/>
        <w:rPr>
          <w:rFonts w:ascii="Calibri" w:eastAsia="Calibri" w:hAnsi="Calibri" w:cs="Calibri"/>
        </w:rPr>
      </w:pPr>
      <w:r>
        <w:rPr>
          <w:rFonts w:ascii="Calibri" w:eastAsia="Calibri" w:hAnsi="Calibri" w:cs="Calibri"/>
        </w:rPr>
        <w:t>For each identified risk</w:t>
      </w:r>
      <w:r>
        <w:rPr>
          <w:rFonts w:ascii="Calibri" w:eastAsia="Calibri" w:hAnsi="Calibri" w:cs="Calibri"/>
        </w:rPr>
        <w:t xml:space="preserve">, two key elements should be assessed: </w:t>
      </w:r>
    </w:p>
    <w:p w14:paraId="00000034" w14:textId="77777777" w:rsidR="00D168A3" w:rsidRDefault="007D57ED">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Likelihood: the probability of the risk occurring </w:t>
      </w:r>
    </w:p>
    <w:p w14:paraId="00000035" w14:textId="77777777" w:rsidR="00D168A3" w:rsidRDefault="007D57ED">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Impact: the severity of the consequences if the risk occurs</w:t>
      </w:r>
    </w:p>
    <w:p w14:paraId="00000036" w14:textId="77777777" w:rsidR="00D168A3" w:rsidRDefault="00D168A3">
      <w:pPr>
        <w:pBdr>
          <w:top w:val="nil"/>
          <w:left w:val="nil"/>
          <w:bottom w:val="nil"/>
          <w:right w:val="nil"/>
          <w:between w:val="nil"/>
        </w:pBdr>
        <w:spacing w:after="0" w:line="240" w:lineRule="auto"/>
        <w:rPr>
          <w:rFonts w:ascii="Calibri" w:eastAsia="Calibri" w:hAnsi="Calibri" w:cs="Calibri"/>
          <w:color w:val="000000"/>
        </w:rPr>
      </w:pPr>
    </w:p>
    <w:p w14:paraId="00000037" w14:textId="77777777" w:rsidR="00D168A3" w:rsidRDefault="007D57ED">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The accepted way to categorize or scale likelihood and impact is to use a “heat map”, as follows: </w:t>
      </w:r>
    </w:p>
    <w:p w14:paraId="00000038" w14:textId="77777777" w:rsidR="00D168A3" w:rsidRDefault="00D168A3">
      <w:pPr>
        <w:pBdr>
          <w:top w:val="nil"/>
          <w:left w:val="nil"/>
          <w:bottom w:val="nil"/>
          <w:right w:val="nil"/>
          <w:between w:val="nil"/>
        </w:pBdr>
        <w:spacing w:after="0" w:line="240" w:lineRule="auto"/>
        <w:rPr>
          <w:rFonts w:ascii="Calibri" w:eastAsia="Calibri" w:hAnsi="Calibri" w:cs="Calibri"/>
          <w:color w:val="000000"/>
        </w:rPr>
      </w:pPr>
    </w:p>
    <w:p w14:paraId="00000039" w14:textId="77777777" w:rsidR="00D168A3" w:rsidRDefault="007D57ED">
      <w:pPr>
        <w:pBdr>
          <w:top w:val="nil"/>
          <w:left w:val="nil"/>
          <w:bottom w:val="nil"/>
          <w:right w:val="nil"/>
          <w:between w:val="nil"/>
        </w:pBdr>
        <w:spacing w:after="0" w:line="240" w:lineRule="auto"/>
        <w:rPr>
          <w:rFonts w:ascii="Calibri" w:eastAsia="Calibri" w:hAnsi="Calibri" w:cs="Calibri"/>
          <w:b/>
          <w:i/>
          <w:color w:val="000000"/>
        </w:rPr>
      </w:pPr>
      <w:r>
        <w:rPr>
          <w:rFonts w:ascii="Calibri" w:eastAsia="Calibri" w:hAnsi="Calibri" w:cs="Calibri"/>
          <w:b/>
          <w:i/>
          <w:color w:val="000000"/>
        </w:rPr>
        <w:t>Heat map</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D168A3" w14:paraId="00B94B6B" w14:textId="77777777">
        <w:tc>
          <w:tcPr>
            <w:tcW w:w="1870" w:type="dxa"/>
          </w:tcPr>
          <w:p w14:paraId="0000003A" w14:textId="77777777" w:rsidR="00D168A3" w:rsidRDefault="00D168A3">
            <w:pPr>
              <w:rPr>
                <w:rFonts w:ascii="Calibri" w:eastAsia="Calibri" w:hAnsi="Calibri" w:cs="Calibri"/>
                <w:color w:val="000000"/>
              </w:rPr>
            </w:pPr>
          </w:p>
        </w:tc>
        <w:tc>
          <w:tcPr>
            <w:tcW w:w="7480" w:type="dxa"/>
            <w:gridSpan w:val="4"/>
          </w:tcPr>
          <w:p w14:paraId="0000003B" w14:textId="77777777" w:rsidR="00D168A3" w:rsidRDefault="007D57ED">
            <w:pPr>
              <w:jc w:val="center"/>
              <w:rPr>
                <w:rFonts w:ascii="Calibri" w:eastAsia="Calibri" w:hAnsi="Calibri" w:cs="Calibri"/>
                <w:color w:val="000000"/>
              </w:rPr>
            </w:pPr>
            <w:r>
              <w:rPr>
                <w:rFonts w:ascii="Calibri" w:eastAsia="Calibri" w:hAnsi="Calibri" w:cs="Calibri"/>
                <w:color w:val="000000"/>
              </w:rPr>
              <w:t>Impact</w:t>
            </w:r>
          </w:p>
        </w:tc>
      </w:tr>
      <w:tr w:rsidR="00D168A3" w14:paraId="5F8EEAB6" w14:textId="77777777">
        <w:tc>
          <w:tcPr>
            <w:tcW w:w="1870" w:type="dxa"/>
          </w:tcPr>
          <w:p w14:paraId="0000003F" w14:textId="77777777" w:rsidR="00D168A3" w:rsidRDefault="007D57ED">
            <w:pPr>
              <w:rPr>
                <w:rFonts w:ascii="Calibri" w:eastAsia="Calibri" w:hAnsi="Calibri" w:cs="Calibri"/>
                <w:color w:val="000000"/>
              </w:rPr>
            </w:pPr>
            <w:r>
              <w:rPr>
                <w:rFonts w:ascii="Calibri" w:eastAsia="Calibri" w:hAnsi="Calibri" w:cs="Calibri"/>
                <w:color w:val="000000"/>
              </w:rPr>
              <w:t>Likelihood</w:t>
            </w:r>
          </w:p>
        </w:tc>
        <w:tc>
          <w:tcPr>
            <w:tcW w:w="1870" w:type="dxa"/>
          </w:tcPr>
          <w:p w14:paraId="00000040" w14:textId="77777777" w:rsidR="00D168A3" w:rsidRDefault="007D57ED">
            <w:pPr>
              <w:rPr>
                <w:rFonts w:ascii="Calibri" w:eastAsia="Calibri" w:hAnsi="Calibri" w:cs="Calibri"/>
                <w:color w:val="000000"/>
              </w:rPr>
            </w:pPr>
            <w:r>
              <w:rPr>
                <w:rFonts w:ascii="Calibri" w:eastAsia="Calibri" w:hAnsi="Calibri" w:cs="Calibri"/>
                <w:color w:val="000000"/>
              </w:rPr>
              <w:t>1 Negligible</w:t>
            </w:r>
          </w:p>
        </w:tc>
        <w:tc>
          <w:tcPr>
            <w:tcW w:w="1870" w:type="dxa"/>
          </w:tcPr>
          <w:p w14:paraId="00000041" w14:textId="77777777" w:rsidR="00D168A3" w:rsidRDefault="007D57ED">
            <w:pPr>
              <w:rPr>
                <w:rFonts w:ascii="Calibri" w:eastAsia="Calibri" w:hAnsi="Calibri" w:cs="Calibri"/>
                <w:color w:val="000000"/>
              </w:rPr>
            </w:pPr>
            <w:r>
              <w:rPr>
                <w:rFonts w:ascii="Calibri" w:eastAsia="Calibri" w:hAnsi="Calibri" w:cs="Calibri"/>
                <w:color w:val="000000"/>
              </w:rPr>
              <w:t>2 Insignificant</w:t>
            </w:r>
          </w:p>
        </w:tc>
        <w:tc>
          <w:tcPr>
            <w:tcW w:w="1870" w:type="dxa"/>
          </w:tcPr>
          <w:p w14:paraId="00000042" w14:textId="77777777" w:rsidR="00D168A3" w:rsidRDefault="007D57ED">
            <w:pPr>
              <w:rPr>
                <w:rFonts w:ascii="Calibri" w:eastAsia="Calibri" w:hAnsi="Calibri" w:cs="Calibri"/>
                <w:color w:val="000000"/>
              </w:rPr>
            </w:pPr>
            <w:r>
              <w:rPr>
                <w:rFonts w:ascii="Calibri" w:eastAsia="Calibri" w:hAnsi="Calibri" w:cs="Calibri"/>
                <w:color w:val="000000"/>
              </w:rPr>
              <w:t>3 Moderate</w:t>
            </w:r>
          </w:p>
        </w:tc>
        <w:tc>
          <w:tcPr>
            <w:tcW w:w="1870" w:type="dxa"/>
          </w:tcPr>
          <w:p w14:paraId="00000043" w14:textId="77777777" w:rsidR="00D168A3" w:rsidRDefault="007D57ED">
            <w:pPr>
              <w:rPr>
                <w:rFonts w:ascii="Calibri" w:eastAsia="Calibri" w:hAnsi="Calibri" w:cs="Calibri"/>
                <w:color w:val="000000"/>
              </w:rPr>
            </w:pPr>
            <w:r>
              <w:rPr>
                <w:rFonts w:ascii="Calibri" w:eastAsia="Calibri" w:hAnsi="Calibri" w:cs="Calibri"/>
                <w:color w:val="000000"/>
              </w:rPr>
              <w:t>4 Significant</w:t>
            </w:r>
          </w:p>
        </w:tc>
      </w:tr>
      <w:tr w:rsidR="00D168A3" w14:paraId="08CF33B8" w14:textId="77777777">
        <w:tc>
          <w:tcPr>
            <w:tcW w:w="1870" w:type="dxa"/>
          </w:tcPr>
          <w:p w14:paraId="00000044" w14:textId="77777777" w:rsidR="00D168A3" w:rsidRDefault="007D57ED">
            <w:pPr>
              <w:rPr>
                <w:rFonts w:ascii="Calibri" w:eastAsia="Calibri" w:hAnsi="Calibri" w:cs="Calibri"/>
                <w:color w:val="000000"/>
              </w:rPr>
            </w:pPr>
            <w:r>
              <w:rPr>
                <w:rFonts w:ascii="Calibri" w:eastAsia="Calibri" w:hAnsi="Calibri" w:cs="Calibri"/>
                <w:color w:val="000000"/>
              </w:rPr>
              <w:t>1 Unlikely</w:t>
            </w:r>
          </w:p>
        </w:tc>
        <w:tc>
          <w:tcPr>
            <w:tcW w:w="1870" w:type="dxa"/>
            <w:shd w:val="clear" w:color="auto" w:fill="92D050"/>
          </w:tcPr>
          <w:p w14:paraId="00000045" w14:textId="77777777" w:rsidR="00D168A3" w:rsidRDefault="00D168A3">
            <w:pPr>
              <w:rPr>
                <w:rFonts w:ascii="Calibri" w:eastAsia="Calibri" w:hAnsi="Calibri" w:cs="Calibri"/>
                <w:color w:val="000000"/>
              </w:rPr>
            </w:pPr>
          </w:p>
        </w:tc>
        <w:tc>
          <w:tcPr>
            <w:tcW w:w="1870" w:type="dxa"/>
            <w:shd w:val="clear" w:color="auto" w:fill="92D050"/>
          </w:tcPr>
          <w:p w14:paraId="00000046" w14:textId="77777777" w:rsidR="00D168A3" w:rsidRDefault="00D168A3">
            <w:pPr>
              <w:rPr>
                <w:rFonts w:ascii="Calibri" w:eastAsia="Calibri" w:hAnsi="Calibri" w:cs="Calibri"/>
                <w:color w:val="000000"/>
              </w:rPr>
            </w:pPr>
          </w:p>
        </w:tc>
        <w:tc>
          <w:tcPr>
            <w:tcW w:w="1870" w:type="dxa"/>
            <w:shd w:val="clear" w:color="auto" w:fill="FFFF00"/>
          </w:tcPr>
          <w:p w14:paraId="00000047" w14:textId="77777777" w:rsidR="00D168A3" w:rsidRDefault="00D168A3">
            <w:pPr>
              <w:rPr>
                <w:rFonts w:ascii="Calibri" w:eastAsia="Calibri" w:hAnsi="Calibri" w:cs="Calibri"/>
                <w:color w:val="000000"/>
              </w:rPr>
            </w:pPr>
          </w:p>
        </w:tc>
        <w:tc>
          <w:tcPr>
            <w:tcW w:w="1870" w:type="dxa"/>
            <w:shd w:val="clear" w:color="auto" w:fill="FFFF00"/>
          </w:tcPr>
          <w:p w14:paraId="00000048" w14:textId="77777777" w:rsidR="00D168A3" w:rsidRDefault="00D168A3">
            <w:pPr>
              <w:rPr>
                <w:rFonts w:ascii="Calibri" w:eastAsia="Calibri" w:hAnsi="Calibri" w:cs="Calibri"/>
                <w:color w:val="000000"/>
              </w:rPr>
            </w:pPr>
          </w:p>
        </w:tc>
      </w:tr>
      <w:tr w:rsidR="00D168A3" w14:paraId="0FFFD27E" w14:textId="77777777">
        <w:tc>
          <w:tcPr>
            <w:tcW w:w="1870" w:type="dxa"/>
          </w:tcPr>
          <w:p w14:paraId="00000049" w14:textId="77777777" w:rsidR="00D168A3" w:rsidRDefault="007D57ED">
            <w:pPr>
              <w:rPr>
                <w:rFonts w:ascii="Calibri" w:eastAsia="Calibri" w:hAnsi="Calibri" w:cs="Calibri"/>
                <w:color w:val="000000"/>
              </w:rPr>
            </w:pPr>
            <w:r>
              <w:rPr>
                <w:rFonts w:ascii="Calibri" w:eastAsia="Calibri" w:hAnsi="Calibri" w:cs="Calibri"/>
                <w:color w:val="000000"/>
              </w:rPr>
              <w:t>2 Possible</w:t>
            </w:r>
          </w:p>
        </w:tc>
        <w:tc>
          <w:tcPr>
            <w:tcW w:w="1870" w:type="dxa"/>
            <w:shd w:val="clear" w:color="auto" w:fill="92D050"/>
          </w:tcPr>
          <w:p w14:paraId="0000004A" w14:textId="77777777" w:rsidR="00D168A3" w:rsidRDefault="00D168A3">
            <w:pPr>
              <w:rPr>
                <w:rFonts w:ascii="Calibri" w:eastAsia="Calibri" w:hAnsi="Calibri" w:cs="Calibri"/>
                <w:color w:val="000000"/>
              </w:rPr>
            </w:pPr>
          </w:p>
        </w:tc>
        <w:tc>
          <w:tcPr>
            <w:tcW w:w="1870" w:type="dxa"/>
            <w:shd w:val="clear" w:color="auto" w:fill="FFFF00"/>
          </w:tcPr>
          <w:p w14:paraId="0000004B" w14:textId="77777777" w:rsidR="00D168A3" w:rsidRDefault="00D168A3">
            <w:pPr>
              <w:rPr>
                <w:rFonts w:ascii="Calibri" w:eastAsia="Calibri" w:hAnsi="Calibri" w:cs="Calibri"/>
                <w:color w:val="000000"/>
              </w:rPr>
            </w:pPr>
          </w:p>
        </w:tc>
        <w:tc>
          <w:tcPr>
            <w:tcW w:w="1870" w:type="dxa"/>
            <w:shd w:val="clear" w:color="auto" w:fill="FFFF00"/>
          </w:tcPr>
          <w:p w14:paraId="0000004C" w14:textId="77777777" w:rsidR="00D168A3" w:rsidRDefault="00D168A3">
            <w:pPr>
              <w:rPr>
                <w:rFonts w:ascii="Calibri" w:eastAsia="Calibri" w:hAnsi="Calibri" w:cs="Calibri"/>
                <w:color w:val="000000"/>
              </w:rPr>
            </w:pPr>
          </w:p>
        </w:tc>
        <w:tc>
          <w:tcPr>
            <w:tcW w:w="1870" w:type="dxa"/>
            <w:shd w:val="clear" w:color="auto" w:fill="FFC000"/>
          </w:tcPr>
          <w:p w14:paraId="0000004D" w14:textId="77777777" w:rsidR="00D168A3" w:rsidRDefault="00D168A3">
            <w:pPr>
              <w:rPr>
                <w:rFonts w:ascii="Calibri" w:eastAsia="Calibri" w:hAnsi="Calibri" w:cs="Calibri"/>
                <w:color w:val="000000"/>
              </w:rPr>
            </w:pPr>
          </w:p>
        </w:tc>
      </w:tr>
      <w:tr w:rsidR="00D168A3" w14:paraId="643AEB89" w14:textId="77777777">
        <w:tc>
          <w:tcPr>
            <w:tcW w:w="1870" w:type="dxa"/>
          </w:tcPr>
          <w:p w14:paraId="0000004E" w14:textId="77777777" w:rsidR="00D168A3" w:rsidRDefault="007D57ED">
            <w:pPr>
              <w:rPr>
                <w:rFonts w:ascii="Calibri" w:eastAsia="Calibri" w:hAnsi="Calibri" w:cs="Calibri"/>
                <w:color w:val="000000"/>
              </w:rPr>
            </w:pPr>
            <w:r>
              <w:rPr>
                <w:rFonts w:ascii="Calibri" w:eastAsia="Calibri" w:hAnsi="Calibri" w:cs="Calibri"/>
                <w:color w:val="000000"/>
              </w:rPr>
              <w:t>3 Likely</w:t>
            </w:r>
          </w:p>
        </w:tc>
        <w:tc>
          <w:tcPr>
            <w:tcW w:w="1870" w:type="dxa"/>
            <w:shd w:val="clear" w:color="auto" w:fill="FFFF00"/>
          </w:tcPr>
          <w:p w14:paraId="0000004F" w14:textId="77777777" w:rsidR="00D168A3" w:rsidRDefault="00D168A3">
            <w:pPr>
              <w:rPr>
                <w:rFonts w:ascii="Calibri" w:eastAsia="Calibri" w:hAnsi="Calibri" w:cs="Calibri"/>
                <w:color w:val="000000"/>
              </w:rPr>
            </w:pPr>
          </w:p>
        </w:tc>
        <w:tc>
          <w:tcPr>
            <w:tcW w:w="1870" w:type="dxa"/>
            <w:shd w:val="clear" w:color="auto" w:fill="FFFF00"/>
          </w:tcPr>
          <w:p w14:paraId="00000050" w14:textId="77777777" w:rsidR="00D168A3" w:rsidRDefault="00D168A3">
            <w:pPr>
              <w:rPr>
                <w:rFonts w:ascii="Calibri" w:eastAsia="Calibri" w:hAnsi="Calibri" w:cs="Calibri"/>
                <w:color w:val="000000"/>
              </w:rPr>
            </w:pPr>
          </w:p>
        </w:tc>
        <w:tc>
          <w:tcPr>
            <w:tcW w:w="1870" w:type="dxa"/>
            <w:shd w:val="clear" w:color="auto" w:fill="FFC000"/>
          </w:tcPr>
          <w:p w14:paraId="00000051" w14:textId="77777777" w:rsidR="00D168A3" w:rsidRDefault="00D168A3">
            <w:pPr>
              <w:rPr>
                <w:rFonts w:ascii="Calibri" w:eastAsia="Calibri" w:hAnsi="Calibri" w:cs="Calibri"/>
                <w:color w:val="000000"/>
              </w:rPr>
            </w:pPr>
          </w:p>
        </w:tc>
        <w:tc>
          <w:tcPr>
            <w:tcW w:w="1870" w:type="dxa"/>
            <w:shd w:val="clear" w:color="auto" w:fill="FF0000"/>
          </w:tcPr>
          <w:p w14:paraId="00000052" w14:textId="77777777" w:rsidR="00D168A3" w:rsidRDefault="00D168A3">
            <w:pPr>
              <w:rPr>
                <w:rFonts w:ascii="Calibri" w:eastAsia="Calibri" w:hAnsi="Calibri" w:cs="Calibri"/>
                <w:color w:val="000000"/>
              </w:rPr>
            </w:pPr>
          </w:p>
        </w:tc>
      </w:tr>
      <w:tr w:rsidR="00D168A3" w14:paraId="436AD6B6" w14:textId="77777777">
        <w:tc>
          <w:tcPr>
            <w:tcW w:w="1870" w:type="dxa"/>
          </w:tcPr>
          <w:p w14:paraId="00000053" w14:textId="77777777" w:rsidR="00D168A3" w:rsidRDefault="007D57ED">
            <w:pPr>
              <w:rPr>
                <w:rFonts w:ascii="Calibri" w:eastAsia="Calibri" w:hAnsi="Calibri" w:cs="Calibri"/>
                <w:color w:val="000000"/>
              </w:rPr>
            </w:pPr>
            <w:r>
              <w:rPr>
                <w:rFonts w:ascii="Calibri" w:eastAsia="Calibri" w:hAnsi="Calibri" w:cs="Calibri"/>
                <w:color w:val="000000"/>
              </w:rPr>
              <w:t>4 Almost certain</w:t>
            </w:r>
          </w:p>
        </w:tc>
        <w:tc>
          <w:tcPr>
            <w:tcW w:w="1870" w:type="dxa"/>
            <w:shd w:val="clear" w:color="auto" w:fill="FFFF00"/>
          </w:tcPr>
          <w:p w14:paraId="00000054" w14:textId="77777777" w:rsidR="00D168A3" w:rsidRDefault="00D168A3">
            <w:pPr>
              <w:rPr>
                <w:rFonts w:ascii="Calibri" w:eastAsia="Calibri" w:hAnsi="Calibri" w:cs="Calibri"/>
                <w:color w:val="000000"/>
              </w:rPr>
            </w:pPr>
          </w:p>
        </w:tc>
        <w:tc>
          <w:tcPr>
            <w:tcW w:w="1870" w:type="dxa"/>
            <w:shd w:val="clear" w:color="auto" w:fill="FFC000"/>
          </w:tcPr>
          <w:p w14:paraId="00000055" w14:textId="77777777" w:rsidR="00D168A3" w:rsidRDefault="00D168A3">
            <w:pPr>
              <w:rPr>
                <w:rFonts w:ascii="Calibri" w:eastAsia="Calibri" w:hAnsi="Calibri" w:cs="Calibri"/>
                <w:color w:val="000000"/>
              </w:rPr>
            </w:pPr>
          </w:p>
        </w:tc>
        <w:tc>
          <w:tcPr>
            <w:tcW w:w="1870" w:type="dxa"/>
            <w:shd w:val="clear" w:color="auto" w:fill="FF0000"/>
          </w:tcPr>
          <w:p w14:paraId="00000056" w14:textId="77777777" w:rsidR="00D168A3" w:rsidRDefault="00D168A3">
            <w:pPr>
              <w:rPr>
                <w:rFonts w:ascii="Calibri" w:eastAsia="Calibri" w:hAnsi="Calibri" w:cs="Calibri"/>
                <w:color w:val="000000"/>
              </w:rPr>
            </w:pPr>
          </w:p>
        </w:tc>
        <w:tc>
          <w:tcPr>
            <w:tcW w:w="1870" w:type="dxa"/>
            <w:shd w:val="clear" w:color="auto" w:fill="FF0000"/>
          </w:tcPr>
          <w:p w14:paraId="00000057" w14:textId="77777777" w:rsidR="00D168A3" w:rsidRDefault="00D168A3">
            <w:pPr>
              <w:rPr>
                <w:rFonts w:ascii="Calibri" w:eastAsia="Calibri" w:hAnsi="Calibri" w:cs="Calibri"/>
                <w:color w:val="000000"/>
              </w:rPr>
            </w:pPr>
          </w:p>
        </w:tc>
      </w:tr>
    </w:tbl>
    <w:p w14:paraId="00000058" w14:textId="77777777" w:rsidR="00D168A3" w:rsidRDefault="00D168A3">
      <w:pPr>
        <w:pBdr>
          <w:top w:val="nil"/>
          <w:left w:val="nil"/>
          <w:bottom w:val="nil"/>
          <w:right w:val="nil"/>
          <w:between w:val="nil"/>
        </w:pBdr>
        <w:spacing w:after="0" w:line="240" w:lineRule="auto"/>
        <w:rPr>
          <w:rFonts w:ascii="Calibri" w:eastAsia="Calibri" w:hAnsi="Calibri" w:cs="Calibri"/>
          <w:color w:val="000000"/>
        </w:rPr>
      </w:pPr>
    </w:p>
    <w:p w14:paraId="00000059" w14:textId="77777777" w:rsidR="00D168A3" w:rsidRDefault="00D168A3">
      <w:pPr>
        <w:spacing w:after="0" w:line="240" w:lineRule="auto"/>
        <w:rPr>
          <w:rFonts w:ascii="Calibri" w:eastAsia="Calibri" w:hAnsi="Calibri" w:cs="Calibri"/>
        </w:rPr>
      </w:pPr>
    </w:p>
    <w:p w14:paraId="0000005A" w14:textId="00E51CEE" w:rsidR="00D168A3" w:rsidRDefault="007D57ED">
      <w:pPr>
        <w:widowControl w:val="0"/>
        <w:spacing w:after="0" w:line="240" w:lineRule="auto"/>
        <w:rPr>
          <w:rFonts w:ascii="Calibri" w:eastAsia="Calibri" w:hAnsi="Calibri" w:cs="Calibri"/>
        </w:rPr>
      </w:pPr>
      <w:r>
        <w:rPr>
          <w:rFonts w:ascii="Calibri" w:eastAsia="Calibri" w:hAnsi="Calibri" w:cs="Calibri"/>
        </w:rPr>
        <w:t xml:space="preserve">While the risk identification and mitigation measures should be developed early in the planning process, it should be noted that the resulting risk and mitigation plan is a living document and should be revisited and updated regularly during the run-up to the SBD distribution period. </w:t>
      </w:r>
      <w:r>
        <w:rPr>
          <w:rFonts w:ascii="Calibri" w:eastAsia="Calibri" w:hAnsi="Calibri" w:cs="Calibri"/>
        </w:rPr>
        <w:t xml:space="preserve">Early on, it may not be possible to identify and assess every potential risk, so the early plans should </w:t>
      </w:r>
      <w:r>
        <w:rPr>
          <w:rFonts w:ascii="Calibri" w:eastAsia="Calibri" w:hAnsi="Calibri" w:cs="Calibri"/>
        </w:rPr>
        <w:t>prioritize</w:t>
      </w:r>
      <w:r>
        <w:rPr>
          <w:rFonts w:ascii="Calibri" w:eastAsia="Calibri" w:hAnsi="Calibri" w:cs="Calibri"/>
        </w:rPr>
        <w:t xml:space="preserve"> the most critical risks. Table 2 below presents </w:t>
      </w:r>
      <w:r>
        <w:rPr>
          <w:rFonts w:ascii="Calibri" w:eastAsia="Calibri" w:hAnsi="Calibri" w:cs="Calibri"/>
        </w:rPr>
        <w:t>priority</w:t>
      </w:r>
      <w:r>
        <w:rPr>
          <w:rFonts w:ascii="Calibri" w:eastAsia="Calibri" w:hAnsi="Calibri" w:cs="Calibri"/>
        </w:rPr>
        <w:t xml:space="preserve"> </w:t>
      </w:r>
      <w:r>
        <w:rPr>
          <w:rFonts w:ascii="Calibri" w:eastAsia="Calibri" w:hAnsi="Calibri" w:cs="Calibri"/>
        </w:rPr>
        <w:t>risks identified from past SBD campaigns, using the example of Zambia’s 2021 SBD activity implemented by the National Malaria Elimination Programme (NMEP).</w:t>
      </w:r>
    </w:p>
    <w:p w14:paraId="0000005B" w14:textId="77777777" w:rsidR="00D168A3" w:rsidRDefault="00D168A3">
      <w:pPr>
        <w:widowControl w:val="0"/>
        <w:spacing w:after="0" w:line="240" w:lineRule="auto"/>
        <w:rPr>
          <w:rFonts w:ascii="Calibri" w:eastAsia="Calibri" w:hAnsi="Calibri" w:cs="Calibri"/>
          <w:i/>
          <w:sz w:val="18"/>
          <w:szCs w:val="18"/>
        </w:rPr>
      </w:pPr>
    </w:p>
    <w:p w14:paraId="0000005C" w14:textId="77777777" w:rsidR="00D168A3" w:rsidRDefault="007D57ED">
      <w:pPr>
        <w:widowControl w:val="0"/>
        <w:spacing w:after="0" w:line="240" w:lineRule="auto"/>
        <w:rPr>
          <w:rFonts w:ascii="Calibri" w:eastAsia="Calibri" w:hAnsi="Calibri" w:cs="Calibri"/>
          <w:i/>
          <w:sz w:val="18"/>
          <w:szCs w:val="18"/>
        </w:rPr>
      </w:pPr>
      <w:r>
        <w:rPr>
          <w:rFonts w:ascii="Calibri" w:eastAsia="Calibri" w:hAnsi="Calibri" w:cs="Calibri"/>
          <w:i/>
          <w:sz w:val="18"/>
          <w:szCs w:val="18"/>
        </w:rPr>
        <w:t>Table 2: Priority risks</w:t>
      </w:r>
    </w:p>
    <w:tbl>
      <w:tblPr>
        <w:tblStyle w:val="a6"/>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9"/>
        <w:gridCol w:w="3184"/>
        <w:gridCol w:w="1560"/>
        <w:gridCol w:w="2276"/>
      </w:tblGrid>
      <w:tr w:rsidR="00D168A3" w:rsidRPr="00DF4E36" w14:paraId="6160373D" w14:textId="77777777" w:rsidTr="007373F6">
        <w:tc>
          <w:tcPr>
            <w:tcW w:w="2339" w:type="dxa"/>
            <w:shd w:val="clear" w:color="auto" w:fill="auto"/>
          </w:tcPr>
          <w:p w14:paraId="0000005D" w14:textId="77777777" w:rsidR="00D168A3" w:rsidRPr="00DF4E36" w:rsidRDefault="007D57ED">
            <w:pPr>
              <w:widowControl w:val="0"/>
              <w:spacing w:after="0" w:line="240" w:lineRule="auto"/>
              <w:rPr>
                <w:rFonts w:ascii="Calibri" w:eastAsia="Calibri" w:hAnsi="Calibri" w:cs="Calibri"/>
                <w:b/>
              </w:rPr>
            </w:pPr>
            <w:r w:rsidRPr="00DF4E36">
              <w:rPr>
                <w:rFonts w:ascii="Calibri" w:eastAsia="Calibri" w:hAnsi="Calibri" w:cs="Calibri"/>
                <w:b/>
              </w:rPr>
              <w:t>SBD strategy area</w:t>
            </w:r>
          </w:p>
        </w:tc>
        <w:tc>
          <w:tcPr>
            <w:tcW w:w="3184" w:type="dxa"/>
            <w:shd w:val="clear" w:color="auto" w:fill="auto"/>
          </w:tcPr>
          <w:p w14:paraId="0000005E" w14:textId="77777777" w:rsidR="00D168A3" w:rsidRPr="00DF4E36" w:rsidRDefault="007D57ED">
            <w:pPr>
              <w:widowControl w:val="0"/>
              <w:spacing w:after="0" w:line="240" w:lineRule="auto"/>
              <w:rPr>
                <w:rFonts w:ascii="Calibri" w:eastAsia="Calibri" w:hAnsi="Calibri" w:cs="Calibri"/>
                <w:b/>
              </w:rPr>
            </w:pPr>
            <w:r w:rsidRPr="00DF4E36">
              <w:rPr>
                <w:rFonts w:ascii="Calibri" w:eastAsia="Calibri" w:hAnsi="Calibri" w:cs="Calibri"/>
                <w:b/>
              </w:rPr>
              <w:t>Risk</w:t>
            </w:r>
          </w:p>
        </w:tc>
        <w:tc>
          <w:tcPr>
            <w:tcW w:w="1560" w:type="dxa"/>
            <w:shd w:val="clear" w:color="auto" w:fill="auto"/>
          </w:tcPr>
          <w:p w14:paraId="0000005F" w14:textId="77777777" w:rsidR="00D168A3" w:rsidRPr="00DF4E36" w:rsidRDefault="007D57ED">
            <w:pPr>
              <w:widowControl w:val="0"/>
              <w:spacing w:after="0" w:line="240" w:lineRule="auto"/>
              <w:rPr>
                <w:rFonts w:ascii="Calibri" w:eastAsia="Calibri" w:hAnsi="Calibri" w:cs="Calibri"/>
                <w:b/>
              </w:rPr>
            </w:pPr>
            <w:r w:rsidRPr="00DF4E36">
              <w:rPr>
                <w:rFonts w:ascii="Calibri" w:eastAsia="Calibri" w:hAnsi="Calibri" w:cs="Calibri"/>
                <w:b/>
              </w:rPr>
              <w:t>Risk category</w:t>
            </w:r>
          </w:p>
        </w:tc>
        <w:tc>
          <w:tcPr>
            <w:tcW w:w="2276" w:type="dxa"/>
            <w:shd w:val="clear" w:color="auto" w:fill="auto"/>
          </w:tcPr>
          <w:p w14:paraId="00000060" w14:textId="77777777" w:rsidR="00D168A3" w:rsidRPr="00DF4E36" w:rsidRDefault="007D57ED">
            <w:pPr>
              <w:widowControl w:val="0"/>
              <w:spacing w:after="0" w:line="240" w:lineRule="auto"/>
              <w:rPr>
                <w:rFonts w:ascii="Calibri" w:eastAsia="Calibri" w:hAnsi="Calibri" w:cs="Calibri"/>
                <w:b/>
              </w:rPr>
            </w:pPr>
            <w:r w:rsidRPr="00DF4E36">
              <w:rPr>
                <w:rFonts w:ascii="Calibri" w:eastAsia="Calibri" w:hAnsi="Calibri" w:cs="Calibri"/>
                <w:b/>
              </w:rPr>
              <w:t>Risk to whom</w:t>
            </w:r>
          </w:p>
        </w:tc>
      </w:tr>
      <w:tr w:rsidR="00D168A3" w:rsidRPr="00DF4E36" w14:paraId="433400A4" w14:textId="77777777" w:rsidTr="007373F6">
        <w:tc>
          <w:tcPr>
            <w:tcW w:w="2339" w:type="dxa"/>
            <w:shd w:val="clear" w:color="auto" w:fill="auto"/>
          </w:tcPr>
          <w:p w14:paraId="00000061" w14:textId="77777777" w:rsidR="00D168A3" w:rsidRPr="00DF4E36" w:rsidRDefault="007D57ED">
            <w:pPr>
              <w:widowControl w:val="0"/>
              <w:spacing w:after="0" w:line="240" w:lineRule="auto"/>
              <w:rPr>
                <w:rFonts w:ascii="Calibri" w:eastAsia="Calibri" w:hAnsi="Calibri" w:cs="Calibri"/>
                <w:b/>
              </w:rPr>
            </w:pPr>
            <w:r w:rsidRPr="00DF4E36">
              <w:rPr>
                <w:rFonts w:ascii="Calibri" w:eastAsia="Calibri" w:hAnsi="Calibri" w:cs="Calibri"/>
              </w:rPr>
              <w:t>ITN quantification</w:t>
            </w:r>
          </w:p>
        </w:tc>
        <w:tc>
          <w:tcPr>
            <w:tcW w:w="3184" w:type="dxa"/>
            <w:shd w:val="clear" w:color="auto" w:fill="auto"/>
          </w:tcPr>
          <w:p w14:paraId="00000062" w14:textId="77777777" w:rsidR="00D168A3" w:rsidRPr="00DF4E36" w:rsidRDefault="007D57ED">
            <w:pPr>
              <w:widowControl w:val="0"/>
              <w:spacing w:after="0" w:line="240" w:lineRule="auto"/>
              <w:rPr>
                <w:rFonts w:ascii="Calibri" w:eastAsia="Calibri" w:hAnsi="Calibri" w:cs="Calibri"/>
                <w:b/>
              </w:rPr>
            </w:pPr>
            <w:r w:rsidRPr="00DF4E36">
              <w:rPr>
                <w:rFonts w:ascii="Calibri" w:eastAsia="Calibri" w:hAnsi="Calibri" w:cs="Calibri"/>
              </w:rPr>
              <w:t xml:space="preserve">Shortfalls in ITN supplies result from inaccuracies in enrolment data used for quantification, leading to a mismatch between </w:t>
            </w:r>
            <w:r w:rsidRPr="00DF4E36">
              <w:rPr>
                <w:rFonts w:ascii="Calibri" w:eastAsia="Calibri" w:hAnsi="Calibri" w:cs="Calibri"/>
              </w:rPr>
              <w:lastRenderedPageBreak/>
              <w:t>the number of nets required and the number received.</w:t>
            </w:r>
          </w:p>
        </w:tc>
        <w:tc>
          <w:tcPr>
            <w:tcW w:w="1560" w:type="dxa"/>
            <w:shd w:val="clear" w:color="auto" w:fill="auto"/>
          </w:tcPr>
          <w:p w14:paraId="00000063" w14:textId="77777777" w:rsidR="00D168A3" w:rsidRPr="00DF4E36" w:rsidRDefault="007D57ED">
            <w:pPr>
              <w:widowControl w:val="0"/>
              <w:spacing w:after="0" w:line="240" w:lineRule="auto"/>
              <w:rPr>
                <w:rFonts w:ascii="Calibri" w:eastAsia="Calibri" w:hAnsi="Calibri" w:cs="Calibri"/>
                <w:b/>
              </w:rPr>
            </w:pPr>
            <w:r w:rsidRPr="00DF4E36">
              <w:rPr>
                <w:rFonts w:ascii="Calibri" w:eastAsia="Calibri" w:hAnsi="Calibri" w:cs="Calibri"/>
              </w:rPr>
              <w:lastRenderedPageBreak/>
              <w:t>Operational</w:t>
            </w:r>
          </w:p>
        </w:tc>
        <w:tc>
          <w:tcPr>
            <w:tcW w:w="2276" w:type="dxa"/>
            <w:shd w:val="clear" w:color="auto" w:fill="auto"/>
          </w:tcPr>
          <w:p w14:paraId="00000064" w14:textId="5D3998C4" w:rsidR="00D168A3" w:rsidRPr="00DF4E36" w:rsidRDefault="007D57ED">
            <w:pPr>
              <w:widowControl w:val="0"/>
              <w:spacing w:after="0" w:line="240" w:lineRule="auto"/>
              <w:rPr>
                <w:rFonts w:ascii="Calibri" w:eastAsia="Calibri" w:hAnsi="Calibri" w:cs="Calibri"/>
                <w:b/>
              </w:rPr>
            </w:pPr>
            <w:r w:rsidRPr="00DF4E36">
              <w:rPr>
                <w:rFonts w:ascii="Calibri" w:eastAsia="Calibri" w:hAnsi="Calibri" w:cs="Calibri"/>
              </w:rPr>
              <w:t>NMEP/M</w:t>
            </w:r>
            <w:r w:rsidR="007373F6">
              <w:rPr>
                <w:rFonts w:ascii="Calibri" w:eastAsia="Calibri" w:hAnsi="Calibri" w:cs="Calibri"/>
              </w:rPr>
              <w:t>inistry of Education (</w:t>
            </w:r>
            <w:proofErr w:type="spellStart"/>
            <w:r w:rsidR="007373F6">
              <w:rPr>
                <w:rFonts w:ascii="Calibri" w:eastAsia="Calibri" w:hAnsi="Calibri" w:cs="Calibri"/>
              </w:rPr>
              <w:t>M</w:t>
            </w:r>
            <w:r w:rsidRPr="00DF4E36">
              <w:rPr>
                <w:rFonts w:ascii="Calibri" w:eastAsia="Calibri" w:hAnsi="Calibri" w:cs="Calibri"/>
              </w:rPr>
              <w:t>oE</w:t>
            </w:r>
            <w:proofErr w:type="spellEnd"/>
            <w:r w:rsidR="007373F6">
              <w:rPr>
                <w:rFonts w:ascii="Calibri" w:eastAsia="Calibri" w:hAnsi="Calibri" w:cs="Calibri"/>
              </w:rPr>
              <w:t>)</w:t>
            </w:r>
          </w:p>
        </w:tc>
      </w:tr>
      <w:tr w:rsidR="00D168A3" w:rsidRPr="00DF4E36" w14:paraId="3D09797B" w14:textId="77777777" w:rsidTr="007373F6">
        <w:trPr>
          <w:trHeight w:val="850"/>
        </w:trPr>
        <w:tc>
          <w:tcPr>
            <w:tcW w:w="2339" w:type="dxa"/>
            <w:shd w:val="clear" w:color="auto" w:fill="auto"/>
          </w:tcPr>
          <w:p w14:paraId="00000065"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Supply chain</w:t>
            </w:r>
          </w:p>
        </w:tc>
        <w:tc>
          <w:tcPr>
            <w:tcW w:w="3184" w:type="dxa"/>
            <w:shd w:val="clear" w:color="auto" w:fill="auto"/>
          </w:tcPr>
          <w:p w14:paraId="00000066"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Limited commodity availability restricts participating districts, schools and grades.</w:t>
            </w:r>
          </w:p>
        </w:tc>
        <w:tc>
          <w:tcPr>
            <w:tcW w:w="1560" w:type="dxa"/>
            <w:shd w:val="clear" w:color="auto" w:fill="auto"/>
          </w:tcPr>
          <w:p w14:paraId="00000067"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Operational</w:t>
            </w:r>
          </w:p>
        </w:tc>
        <w:tc>
          <w:tcPr>
            <w:tcW w:w="2276" w:type="dxa"/>
            <w:shd w:val="clear" w:color="auto" w:fill="auto"/>
          </w:tcPr>
          <w:p w14:paraId="00000068"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NMEP/Implementing partners</w:t>
            </w:r>
          </w:p>
        </w:tc>
      </w:tr>
      <w:tr w:rsidR="00D168A3" w:rsidRPr="00DF4E36" w14:paraId="2F863EB9" w14:textId="77777777" w:rsidTr="007373F6">
        <w:tc>
          <w:tcPr>
            <w:tcW w:w="2339" w:type="dxa"/>
            <w:shd w:val="clear" w:color="auto" w:fill="auto"/>
          </w:tcPr>
          <w:p w14:paraId="00000069"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Monitoring and evaluation</w:t>
            </w:r>
          </w:p>
        </w:tc>
        <w:tc>
          <w:tcPr>
            <w:tcW w:w="3184" w:type="dxa"/>
            <w:shd w:val="clear" w:color="auto" w:fill="auto"/>
          </w:tcPr>
          <w:p w14:paraId="0000006A"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 xml:space="preserve">Lack of clarity regarding data management responsibilities between the MoH and </w:t>
            </w:r>
            <w:proofErr w:type="spellStart"/>
            <w:r w:rsidRPr="00DF4E36">
              <w:rPr>
                <w:rFonts w:ascii="Calibri" w:eastAsia="Calibri" w:hAnsi="Calibri" w:cs="Calibri"/>
              </w:rPr>
              <w:t>MoE</w:t>
            </w:r>
            <w:proofErr w:type="spellEnd"/>
            <w:r w:rsidRPr="00DF4E36">
              <w:rPr>
                <w:rFonts w:ascii="Calibri" w:eastAsia="Calibri" w:hAnsi="Calibri" w:cs="Calibri"/>
              </w:rPr>
              <w:t>.</w:t>
            </w:r>
          </w:p>
        </w:tc>
        <w:tc>
          <w:tcPr>
            <w:tcW w:w="1560" w:type="dxa"/>
            <w:shd w:val="clear" w:color="auto" w:fill="auto"/>
          </w:tcPr>
          <w:p w14:paraId="0000006B"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Operational</w:t>
            </w:r>
          </w:p>
        </w:tc>
        <w:tc>
          <w:tcPr>
            <w:tcW w:w="2276" w:type="dxa"/>
            <w:shd w:val="clear" w:color="auto" w:fill="auto"/>
          </w:tcPr>
          <w:p w14:paraId="0000006C"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NMEP/</w:t>
            </w:r>
            <w:proofErr w:type="spellStart"/>
            <w:r w:rsidRPr="00DF4E36">
              <w:rPr>
                <w:rFonts w:ascii="Calibri" w:eastAsia="Calibri" w:hAnsi="Calibri" w:cs="Calibri"/>
              </w:rPr>
              <w:t>MoE</w:t>
            </w:r>
            <w:proofErr w:type="spellEnd"/>
          </w:p>
        </w:tc>
      </w:tr>
      <w:tr w:rsidR="00D168A3" w:rsidRPr="00DF4E36" w14:paraId="4C210D48" w14:textId="77777777" w:rsidTr="007373F6">
        <w:tc>
          <w:tcPr>
            <w:tcW w:w="2339" w:type="dxa"/>
            <w:shd w:val="clear" w:color="auto" w:fill="auto"/>
          </w:tcPr>
          <w:p w14:paraId="0000006D"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Social and behaviour change (SBC)</w:t>
            </w:r>
          </w:p>
        </w:tc>
        <w:tc>
          <w:tcPr>
            <w:tcW w:w="3184" w:type="dxa"/>
            <w:shd w:val="clear" w:color="auto" w:fill="auto"/>
          </w:tcPr>
          <w:p w14:paraId="0000006E"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 xml:space="preserve">Limited funding towards SBC for SBD, leading to lack of engagement with critical stakeholders. </w:t>
            </w:r>
          </w:p>
        </w:tc>
        <w:tc>
          <w:tcPr>
            <w:tcW w:w="1560" w:type="dxa"/>
            <w:shd w:val="clear" w:color="auto" w:fill="auto"/>
          </w:tcPr>
          <w:p w14:paraId="0000006F"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 xml:space="preserve">Financial </w:t>
            </w:r>
          </w:p>
        </w:tc>
        <w:tc>
          <w:tcPr>
            <w:tcW w:w="2276" w:type="dxa"/>
            <w:shd w:val="clear" w:color="auto" w:fill="auto"/>
          </w:tcPr>
          <w:p w14:paraId="00000070"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NMEP/</w:t>
            </w:r>
            <w:proofErr w:type="spellStart"/>
            <w:r w:rsidRPr="00DF4E36">
              <w:rPr>
                <w:rFonts w:ascii="Calibri" w:eastAsia="Calibri" w:hAnsi="Calibri" w:cs="Calibri"/>
              </w:rPr>
              <w:t>MoE</w:t>
            </w:r>
            <w:proofErr w:type="spellEnd"/>
          </w:p>
        </w:tc>
      </w:tr>
    </w:tbl>
    <w:p w14:paraId="00000071" w14:textId="77777777" w:rsidR="00D168A3" w:rsidRDefault="00D168A3">
      <w:pPr>
        <w:widowControl w:val="0"/>
        <w:spacing w:after="0" w:line="240" w:lineRule="auto"/>
        <w:rPr>
          <w:rFonts w:ascii="Calibri" w:eastAsia="Calibri" w:hAnsi="Calibri" w:cs="Calibri"/>
        </w:rPr>
      </w:pPr>
    </w:p>
    <w:p w14:paraId="00000072" w14:textId="77777777" w:rsidR="00D168A3" w:rsidRDefault="007D57ED">
      <w:pPr>
        <w:widowControl w:val="0"/>
        <w:spacing w:after="0" w:line="240" w:lineRule="auto"/>
        <w:rPr>
          <w:rFonts w:ascii="Calibri" w:eastAsia="Calibri" w:hAnsi="Calibri" w:cs="Calibri"/>
          <w:b/>
          <w:sz w:val="24"/>
          <w:szCs w:val="24"/>
        </w:rPr>
      </w:pPr>
      <w:r>
        <w:rPr>
          <w:rFonts w:ascii="Calibri" w:eastAsia="Calibri" w:hAnsi="Calibri" w:cs="Calibri"/>
          <w:b/>
          <w:sz w:val="24"/>
          <w:szCs w:val="24"/>
        </w:rPr>
        <w:t>2.</w:t>
      </w:r>
      <w:r>
        <w:rPr>
          <w:rFonts w:ascii="Calibri" w:eastAsia="Calibri" w:hAnsi="Calibri" w:cs="Calibri"/>
          <w:b/>
          <w:sz w:val="24"/>
          <w:szCs w:val="24"/>
        </w:rPr>
        <w:tab/>
        <w:t>SBD risk mitigation planning</w:t>
      </w:r>
    </w:p>
    <w:p w14:paraId="00000073" w14:textId="0C3C0458" w:rsidR="00D168A3" w:rsidRDefault="007D57ED">
      <w:pPr>
        <w:widowControl w:val="0"/>
        <w:spacing w:after="0" w:line="240" w:lineRule="auto"/>
        <w:rPr>
          <w:rFonts w:ascii="Calibri" w:eastAsia="Calibri" w:hAnsi="Calibri" w:cs="Calibri"/>
        </w:rPr>
      </w:pPr>
      <w:r>
        <w:rPr>
          <w:rFonts w:ascii="Calibri" w:eastAsia="Calibri" w:hAnsi="Calibri" w:cs="Calibri"/>
        </w:rPr>
        <w:t>A robust risk mitigation plan ensures that identified risks are monitored and addressed throughout the SBD distribution period. The SBD working group (or equivalent) should actively track risks and update mitigation actions in the main SBD Plan of Action (</w:t>
      </w:r>
      <w:commentRangeStart w:id="1"/>
      <w:proofErr w:type="spellStart"/>
      <w:r>
        <w:rPr>
          <w:rFonts w:ascii="Calibri" w:eastAsia="Calibri" w:hAnsi="Calibri" w:cs="Calibri"/>
        </w:rPr>
        <w:t>PoA</w:t>
      </w:r>
      <w:commentRangeEnd w:id="1"/>
      <w:proofErr w:type="spellEnd"/>
      <w:r>
        <w:commentReference w:id="1"/>
      </w:r>
      <w:r>
        <w:rPr>
          <w:rFonts w:ascii="Calibri" w:eastAsia="Calibri" w:hAnsi="Calibri" w:cs="Calibri"/>
        </w:rPr>
        <w:t xml:space="preserve">). </w:t>
      </w:r>
      <w:r>
        <w:rPr>
          <w:rFonts w:ascii="Calibri" w:eastAsia="Calibri" w:hAnsi="Calibri" w:cs="Calibri"/>
        </w:rPr>
        <w:t xml:space="preserve">Ideally, one member of the SBD working group should be designated as the owner of the risk assessment and mitigation plan to ensure accountability. Risk identification should consider broad, </w:t>
      </w:r>
      <w:commentRangeStart w:id="2"/>
      <w:r>
        <w:rPr>
          <w:rFonts w:ascii="Calibri" w:eastAsia="Calibri" w:hAnsi="Calibri" w:cs="Calibri"/>
        </w:rPr>
        <w:t>systematic</w:t>
      </w:r>
      <w:commentRangeEnd w:id="2"/>
      <w:r w:rsidR="007373F6">
        <w:rPr>
          <w:rStyle w:val="CommentReference"/>
        </w:rPr>
        <w:commentReference w:id="2"/>
      </w:r>
      <w:r>
        <w:rPr>
          <w:rFonts w:ascii="Calibri" w:eastAsia="Calibri" w:hAnsi="Calibri" w:cs="Calibri"/>
        </w:rPr>
        <w:t xml:space="preserve"> risks in addition to specific risks at the sub-national, school and community levels. Risk owners should develop tailored mitigation strategies to address each identified risk, ensuring timely and effective implementation.</w:t>
      </w:r>
    </w:p>
    <w:p w14:paraId="00000074" w14:textId="77777777" w:rsidR="00D168A3" w:rsidRDefault="00D168A3">
      <w:pPr>
        <w:widowControl w:val="0"/>
        <w:spacing w:after="0" w:line="240" w:lineRule="auto"/>
        <w:rPr>
          <w:rFonts w:ascii="Calibri" w:eastAsia="Calibri" w:hAnsi="Calibri" w:cs="Calibri"/>
        </w:rPr>
      </w:pPr>
    </w:p>
    <w:p w14:paraId="00000077" w14:textId="77777777" w:rsidR="00D168A3" w:rsidRDefault="007D57ED">
      <w:pPr>
        <w:widowControl w:val="0"/>
        <w:pBdr>
          <w:top w:val="single" w:sz="4" w:space="1" w:color="000000"/>
          <w:left w:val="single" w:sz="4" w:space="4" w:color="000000"/>
          <w:bottom w:val="single" w:sz="4" w:space="1" w:color="000000"/>
          <w:right w:val="single" w:sz="4" w:space="4" w:color="000000"/>
        </w:pBdr>
        <w:spacing w:after="0" w:line="240" w:lineRule="auto"/>
        <w:rPr>
          <w:rFonts w:ascii="Calibri" w:eastAsia="Calibri" w:hAnsi="Calibri" w:cs="Calibri"/>
          <w:b/>
        </w:rPr>
      </w:pPr>
      <w:r>
        <w:rPr>
          <w:rFonts w:ascii="Calibri" w:eastAsia="Calibri" w:hAnsi="Calibri" w:cs="Calibri"/>
          <w:b/>
        </w:rPr>
        <w:t xml:space="preserve">The risk assessment and mitigation plan </w:t>
      </w:r>
      <w:proofErr w:type="gramStart"/>
      <w:r>
        <w:rPr>
          <w:rFonts w:ascii="Calibri" w:eastAsia="Calibri" w:hAnsi="Calibri" w:cs="Calibri"/>
          <w:b/>
        </w:rPr>
        <w:t>is</w:t>
      </w:r>
      <w:proofErr w:type="gramEnd"/>
      <w:r>
        <w:rPr>
          <w:rFonts w:ascii="Calibri" w:eastAsia="Calibri" w:hAnsi="Calibri" w:cs="Calibri"/>
          <w:b/>
        </w:rPr>
        <w:t xml:space="preserve"> a key component of the SBD </w:t>
      </w:r>
      <w:proofErr w:type="spellStart"/>
      <w:r>
        <w:rPr>
          <w:rFonts w:ascii="Calibri" w:eastAsia="Calibri" w:hAnsi="Calibri" w:cs="Calibri"/>
          <w:b/>
        </w:rPr>
        <w:t>PoA</w:t>
      </w:r>
      <w:proofErr w:type="spellEnd"/>
      <w:r>
        <w:rPr>
          <w:rFonts w:ascii="Calibri" w:eastAsia="Calibri" w:hAnsi="Calibri" w:cs="Calibri"/>
          <w:b/>
        </w:rPr>
        <w:t xml:space="preserve"> and should be continuously updated.</w:t>
      </w:r>
    </w:p>
    <w:p w14:paraId="00000078" w14:textId="77777777" w:rsidR="00D168A3" w:rsidRDefault="007D57ED">
      <w:pPr>
        <w:widowControl w:val="0"/>
        <w:spacing w:after="0" w:line="240" w:lineRule="auto"/>
        <w:rPr>
          <w:rFonts w:ascii="Calibri" w:eastAsia="Calibri" w:hAnsi="Calibri" w:cs="Calibri"/>
        </w:rPr>
      </w:pPr>
      <w:r>
        <w:t xml:space="preserve">     </w:t>
      </w:r>
    </w:p>
    <w:p w14:paraId="00000079" w14:textId="6A1077BE" w:rsidR="00D168A3" w:rsidRDefault="007D57ED">
      <w:pPr>
        <w:widowControl w:val="0"/>
        <w:spacing w:after="0" w:line="240" w:lineRule="auto"/>
        <w:rPr>
          <w:rFonts w:ascii="Calibri" w:eastAsia="Calibri" w:hAnsi="Calibri" w:cs="Calibri"/>
        </w:rPr>
      </w:pPr>
      <w:r>
        <w:rPr>
          <w:rFonts w:ascii="Calibri" w:eastAsia="Calibri" w:hAnsi="Calibri" w:cs="Calibri"/>
        </w:rPr>
        <w:t xml:space="preserve">A risk assessment and mitigation plan </w:t>
      </w:r>
      <w:commentRangeStart w:id="3"/>
      <w:r>
        <w:rPr>
          <w:rFonts w:ascii="Calibri" w:eastAsia="Calibri" w:hAnsi="Calibri" w:cs="Calibri"/>
        </w:rPr>
        <w:t>adaptable tool</w:t>
      </w:r>
      <w:commentRangeEnd w:id="3"/>
      <w:r>
        <w:commentReference w:id="3"/>
      </w:r>
      <w:r>
        <w:rPr>
          <w:rFonts w:ascii="Calibri" w:eastAsia="Calibri" w:hAnsi="Calibri" w:cs="Calibri"/>
        </w:rPr>
        <w:t xml:space="preserve"> (Excel) is available in conjunction with this guidance document. The plan includes common risks from country experiences of implementing SBD but should be revised for each country’s context and specific situation.</w:t>
      </w:r>
    </w:p>
    <w:p w14:paraId="0000007A" w14:textId="77777777" w:rsidR="00D168A3" w:rsidRDefault="00D168A3">
      <w:pPr>
        <w:widowControl w:val="0"/>
        <w:spacing w:after="0" w:line="240" w:lineRule="auto"/>
        <w:rPr>
          <w:rFonts w:ascii="Calibri" w:eastAsia="Calibri" w:hAnsi="Calibri" w:cs="Calibri"/>
          <w:b/>
        </w:rPr>
      </w:pPr>
    </w:p>
    <w:p w14:paraId="0000007B" w14:textId="77777777" w:rsidR="00D168A3" w:rsidRDefault="007D57ED">
      <w:pPr>
        <w:widowControl w:val="0"/>
        <w:spacing w:after="0" w:line="240" w:lineRule="auto"/>
        <w:rPr>
          <w:rFonts w:ascii="Calibri" w:eastAsia="Calibri" w:hAnsi="Calibri" w:cs="Calibri"/>
          <w:b/>
        </w:rPr>
      </w:pPr>
      <w:r>
        <w:rPr>
          <w:rFonts w:ascii="Calibri" w:eastAsia="Calibri" w:hAnsi="Calibri" w:cs="Calibri"/>
          <w:b/>
        </w:rPr>
        <w:t>Best practices for risk management in SBD</w:t>
      </w:r>
    </w:p>
    <w:p w14:paraId="0000007C" w14:textId="6BC3DB97" w:rsidR="00D168A3"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Involve stakeholders: consult with </w:t>
      </w:r>
      <w:proofErr w:type="spellStart"/>
      <w:r>
        <w:rPr>
          <w:rFonts w:ascii="Calibri" w:eastAsia="Calibri" w:hAnsi="Calibri" w:cs="Calibri"/>
          <w:color w:val="000000"/>
        </w:rPr>
        <w:t>MoE</w:t>
      </w:r>
      <w:proofErr w:type="spellEnd"/>
      <w:r>
        <w:rPr>
          <w:rFonts w:ascii="Calibri" w:eastAsia="Calibri" w:hAnsi="Calibri" w:cs="Calibri"/>
          <w:color w:val="000000"/>
        </w:rPr>
        <w:t xml:space="preserve"> personnel</w:t>
      </w:r>
      <w:r>
        <w:rPr>
          <w:rFonts w:ascii="Calibri" w:eastAsia="Calibri" w:hAnsi="Calibri" w:cs="Calibri"/>
          <w:color w:val="000000"/>
        </w:rPr>
        <w:t>, sub-national education authorities, head teachers, community leaders and other relevant stakeholders to identify potential risks and develop appropriate mitigation strategies.</w:t>
      </w:r>
    </w:p>
    <w:p w14:paraId="0000007D" w14:textId="77777777" w:rsidR="00D168A3"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Learn from past experiences: review any past ITN SBD distributions to identify lessons learned and potential pitfalls.</w:t>
      </w:r>
    </w:p>
    <w:p w14:paraId="0000007E" w14:textId="77777777" w:rsidR="00D168A3"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Be flexible and adaptable: be prepared to adjust plans as circumstances change.</w:t>
      </w:r>
    </w:p>
    <w:p w14:paraId="0000007F" w14:textId="77777777" w:rsidR="00D168A3"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Document everything: maintain detailed records of all activities, including risk assessments, mitigation strategies and monitoring data.</w:t>
      </w:r>
    </w:p>
    <w:p w14:paraId="00000080" w14:textId="77777777" w:rsidR="00D168A3" w:rsidRDefault="00D168A3">
      <w:pPr>
        <w:widowControl w:val="0"/>
        <w:spacing w:after="0" w:line="240" w:lineRule="auto"/>
        <w:rPr>
          <w:rFonts w:ascii="Calibri" w:eastAsia="Calibri" w:hAnsi="Calibri" w:cs="Calibri"/>
          <w:b/>
        </w:rPr>
      </w:pPr>
    </w:p>
    <w:p w14:paraId="00000081" w14:textId="77777777" w:rsidR="00D168A3" w:rsidRDefault="007D57ED">
      <w:pPr>
        <w:widowControl w:val="0"/>
        <w:spacing w:after="0" w:line="240" w:lineRule="auto"/>
        <w:rPr>
          <w:rFonts w:ascii="Calibri" w:eastAsia="Calibri" w:hAnsi="Calibri" w:cs="Calibri"/>
          <w:b/>
        </w:rPr>
      </w:pPr>
      <w:r>
        <w:rPr>
          <w:rFonts w:ascii="Calibri" w:eastAsia="Calibri" w:hAnsi="Calibri" w:cs="Calibri"/>
          <w:b/>
        </w:rPr>
        <w:t>Country resources</w:t>
      </w:r>
    </w:p>
    <w:p w14:paraId="00000082" w14:textId="4AB8A752" w:rsidR="00D168A3"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Example of risk assessment and mitigation plans from </w:t>
      </w:r>
      <w:commentRangeStart w:id="4"/>
      <w:r>
        <w:rPr>
          <w:rFonts w:ascii="Calibri" w:eastAsia="Calibri" w:hAnsi="Calibri" w:cs="Calibri"/>
          <w:color w:val="000000"/>
        </w:rPr>
        <w:t>Ghana, Zambia and Tanzania</w:t>
      </w:r>
      <w:commentRangeEnd w:id="4"/>
      <w:r>
        <w:commentReference w:id="4"/>
      </w:r>
    </w:p>
    <w:sectPr w:rsidR="00D168A3">
      <w:footerReference w:type="even" r:id="rId13"/>
      <w:footerReference w:type="default" r:id="rId14"/>
      <w:headerReference w:type="first" r:id="rId15"/>
      <w:footerReference w:type="first" r:id="rId16"/>
      <w:pgSz w:w="12240" w:h="15840"/>
      <w:pgMar w:top="1440" w:right="1440" w:bottom="1440" w:left="1440" w:header="709" w:footer="709"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Viv Seabright" w:date="2025-03-06T10:59:00Z" w:initials="">
    <w:p w14:paraId="00000095" w14:textId="77777777" w:rsidR="00D168A3" w:rsidRDefault="007D57E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Insert link</w:t>
      </w:r>
    </w:p>
  </w:comment>
  <w:comment w:id="1" w:author="Viv Seabright" w:date="2025-05-01T11:50:00Z" w:initials="">
    <w:p w14:paraId="00000093" w14:textId="77777777" w:rsidR="00D168A3" w:rsidRDefault="007D57E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w:t>
      </w:r>
    </w:p>
  </w:comment>
  <w:comment w:id="2" w:author="Viv Seabright" w:date="2025-05-15T11:29:00Z" w:initials="VS">
    <w:p w14:paraId="53CC1E60" w14:textId="77777777" w:rsidR="007373F6" w:rsidRDefault="007373F6" w:rsidP="007373F6">
      <w:pPr>
        <w:pStyle w:val="CommentText"/>
      </w:pPr>
      <w:r>
        <w:rPr>
          <w:rStyle w:val="CommentReference"/>
        </w:rPr>
        <w:annotationRef/>
      </w:r>
      <w:r>
        <w:t>Or systemic?</w:t>
      </w:r>
    </w:p>
  </w:comment>
  <w:comment w:id="3" w:author="Viv Seabright" w:date="2025-03-06T10:57:00Z" w:initials="">
    <w:p w14:paraId="0000008D" w14:textId="3DB846C7" w:rsidR="00D168A3" w:rsidRDefault="007D57E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Insert link</w:t>
      </w:r>
    </w:p>
  </w:comment>
  <w:comment w:id="4" w:author="Viv Seabright" w:date="2025-05-02T11:03:00Z" w:initials="">
    <w:p w14:paraId="00000090" w14:textId="77777777" w:rsidR="00D168A3" w:rsidRDefault="007D57E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Links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95" w15:done="0"/>
  <w15:commentEx w15:paraId="00000093" w15:done="0"/>
  <w15:commentEx w15:paraId="53CC1E60" w15:done="0"/>
  <w15:commentEx w15:paraId="0000008D" w15:done="0"/>
  <w15:commentEx w15:paraId="0000009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76AF439" w16cex:dateUtc="2025-05-15T10: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95" w16cid:durableId="00000095"/>
  <w16cid:commentId w16cid:paraId="00000093" w16cid:durableId="00000093"/>
  <w16cid:commentId w16cid:paraId="53CC1E60" w16cid:durableId="176AF439"/>
  <w16cid:commentId w16cid:paraId="0000008D" w16cid:durableId="0000008D"/>
  <w16cid:commentId w16cid:paraId="00000090" w16cid:durableId="000000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6AD58" w14:textId="77777777" w:rsidR="007D57ED" w:rsidRDefault="007D57ED">
      <w:pPr>
        <w:spacing w:after="0" w:line="240" w:lineRule="auto"/>
      </w:pPr>
      <w:r>
        <w:separator/>
      </w:r>
    </w:p>
  </w:endnote>
  <w:endnote w:type="continuationSeparator" w:id="0">
    <w:p w14:paraId="402F18A8" w14:textId="77777777" w:rsidR="007D57ED" w:rsidRDefault="007D5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CC208C4-EC47-405B-A097-B7971FD2694E}"/>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B646F84F-BECA-412D-8DFF-9AFD80586776}"/>
    <w:embedBold r:id="rId3" w:fontKey="{549754E1-3E30-43E3-AEC3-E9F272532010}"/>
    <w:embedItalic r:id="rId4" w:fontKey="{A3CCDB88-B5E8-4E44-A496-E5E40CC5DA27}"/>
  </w:font>
  <w:font w:name="Aptos Display">
    <w:charset w:val="00"/>
    <w:family w:val="swiss"/>
    <w:pitch w:val="variable"/>
    <w:sig w:usb0="20000287" w:usb1="00000003" w:usb2="00000000" w:usb3="00000000" w:csb0="0000019F" w:csb1="00000000"/>
    <w:embedRegular r:id="rId5" w:fontKey="{A6A3245E-55AD-4552-802A-7FBB9676513C}"/>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F89A916D-C33E-42D7-A0D8-A8FABA3EF425}"/>
  </w:font>
  <w:font w:name="Calibri">
    <w:panose1 w:val="020F0502020204030204"/>
    <w:charset w:val="00"/>
    <w:family w:val="swiss"/>
    <w:pitch w:val="variable"/>
    <w:sig w:usb0="E4002EFF" w:usb1="C000247B" w:usb2="00000009" w:usb3="00000000" w:csb0="000001FF" w:csb1="00000000"/>
    <w:embedRegular r:id="rId7" w:fontKey="{071331D4-D88C-43E4-8570-8139F131B6C2}"/>
    <w:embedBold r:id="rId8" w:fontKey="{685462D6-A2DD-4534-B9A3-6D0EF7C0CBD2}"/>
    <w:embedItalic r:id="rId9" w:fontKey="{953728F0-B4B2-4B35-8EBF-7EEA8328B723}"/>
    <w:embedBoldItalic r:id="rId10" w:fontKey="{25D42542-4B05-4F0A-B766-3BC85893694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4" w14:textId="77777777" w:rsidR="00D168A3" w:rsidRDefault="007D57ED">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r>
      <w:rPr>
        <w:noProof/>
      </w:rPr>
      <mc:AlternateContent>
        <mc:Choice Requires="wps">
          <w:drawing>
            <wp:anchor distT="0" distB="0" distL="0" distR="0" simplePos="0" relativeHeight="251660288" behindDoc="0" locked="0" layoutInCell="1" hidden="0" allowOverlap="1" wp14:anchorId="61800EBE" wp14:editId="08C26FAF">
              <wp:simplePos x="0" y="0"/>
              <wp:positionH relativeFrom="column">
                <wp:posOffset>-914399</wp:posOffset>
              </wp:positionH>
              <wp:positionV relativeFrom="paragraph">
                <wp:posOffset>0</wp:posOffset>
              </wp:positionV>
              <wp:extent cx="676275" cy="376555"/>
              <wp:effectExtent l="0" t="0" r="0" b="0"/>
              <wp:wrapNone/>
              <wp:docPr id="1767178834" name="Rectangle 1767178834" descr="Internal"/>
              <wp:cNvGraphicFramePr/>
              <a:graphic xmlns:a="http://schemas.openxmlformats.org/drawingml/2006/main">
                <a:graphicData uri="http://schemas.microsoft.com/office/word/2010/wordprocessingShape">
                  <wps:wsp>
                    <wps:cNvSpPr/>
                    <wps:spPr>
                      <a:xfrm>
                        <a:off x="5017388" y="3601248"/>
                        <a:ext cx="657225" cy="357505"/>
                      </a:xfrm>
                      <a:prstGeom prst="rect">
                        <a:avLst/>
                      </a:prstGeom>
                      <a:noFill/>
                      <a:ln>
                        <a:noFill/>
                      </a:ln>
                    </wps:spPr>
                    <wps:txbx>
                      <w:txbxContent>
                        <w:p w14:paraId="7BDC9229" w14:textId="77777777" w:rsidR="00D168A3" w:rsidRDefault="007D57ED">
                          <w:pPr>
                            <w:spacing w:after="0" w:line="258" w:lineRule="auto"/>
                            <w:textDirection w:val="btLr"/>
                          </w:pPr>
                          <w:r>
                            <w:rPr>
                              <w:rFonts w:ascii="Calibri" w:eastAsia="Calibri" w:hAnsi="Calibri" w:cs="Calibri"/>
                              <w:color w:val="000000"/>
                              <w:sz w:val="20"/>
                            </w:rPr>
                            <w:t>Internal</w:t>
                          </w:r>
                        </w:p>
                      </w:txbxContent>
                    </wps:txbx>
                    <wps:bodyPr spcFirstLastPara="1" wrap="square" lIns="254000" tIns="0" rIns="0" bIns="190500" anchor="b" anchorCtr="0">
                      <a:noAutofit/>
                    </wps:bodyPr>
                  </wps:wsp>
                </a:graphicData>
              </a:graphic>
            </wp:anchor>
          </w:drawing>
        </mc:Choice>
        <mc:Fallback>
          <w:pict>
            <v:rect w14:anchorId="61800EBE" id="Rectangle 1767178834" o:spid="_x0000_s1026" alt="Internal" style="position:absolute;margin-left:-1in;margin-top:0;width:53.25pt;height:29.65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" filled="f" stroked="f">
              <v:textbox inset="20pt,0,0,15pt">
                <w:txbxContent>
                  <w:p w14:paraId="7BDC9229" w14:textId="77777777" w:rsidR="00D168A3" w:rsidRDefault="007D57ED">
                    <w:pPr>
                      <w:spacing w:after="0" w:line="258" w:lineRule="auto"/>
                      <w:textDirection w:val="btLr"/>
                    </w:pPr>
                    <w:r>
                      <w:rPr>
                        <w:rFonts w:ascii="Calibri" w:eastAsia="Calibri" w:hAnsi="Calibri" w:cs="Calibri"/>
                        <w:color w:val="000000"/>
                        <w:sz w:val="20"/>
                      </w:rPr>
                      <w:t>Internal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5" w14:textId="21AEEF00" w:rsidR="00D168A3" w:rsidRDefault="007D57ED">
    <w:pPr>
      <w:pBdr>
        <w:top w:val="nil"/>
        <w:left w:val="nil"/>
        <w:bottom w:val="nil"/>
        <w:right w:val="nil"/>
        <w:between w:val="nil"/>
      </w:pBdr>
      <w:tabs>
        <w:tab w:val="center" w:pos="4320"/>
        <w:tab w:val="right" w:pos="8640"/>
      </w:tabs>
      <w:spacing w:after="0" w:line="240" w:lineRule="auto"/>
      <w:jc w:val="center"/>
      <w:rPr>
        <w:rFonts w:ascii="Cambria" w:eastAsia="Cambria" w:hAnsi="Cambria" w:cs="Cambria"/>
        <w:color w:val="000000"/>
        <w:sz w:val="24"/>
        <w:szCs w:val="24"/>
      </w:rPr>
    </w:pPr>
    <w:r>
      <w:rPr>
        <w:rFonts w:ascii="Cambria" w:eastAsia="Cambria" w:hAnsi="Cambria" w:cs="Cambria"/>
        <w:color w:val="000000"/>
        <w:sz w:val="24"/>
        <w:szCs w:val="24"/>
      </w:rPr>
      <w:fldChar w:fldCharType="begin"/>
    </w:r>
    <w:r>
      <w:rPr>
        <w:rFonts w:ascii="Cambria" w:eastAsia="Cambria" w:hAnsi="Cambria" w:cs="Cambria"/>
        <w:color w:val="000000"/>
        <w:sz w:val="24"/>
        <w:szCs w:val="24"/>
      </w:rPr>
      <w:instrText>PAGE</w:instrText>
    </w:r>
    <w:r>
      <w:rPr>
        <w:rFonts w:ascii="Cambria" w:eastAsia="Cambria" w:hAnsi="Cambria" w:cs="Cambria"/>
        <w:color w:val="000000"/>
        <w:sz w:val="24"/>
        <w:szCs w:val="24"/>
      </w:rPr>
      <w:fldChar w:fldCharType="separate"/>
    </w:r>
    <w:r w:rsidR="00DF4E36">
      <w:rPr>
        <w:rFonts w:ascii="Cambria" w:eastAsia="Cambria" w:hAnsi="Cambria" w:cs="Cambria"/>
        <w:noProof/>
        <w:color w:val="000000"/>
        <w:sz w:val="24"/>
        <w:szCs w:val="24"/>
      </w:rPr>
      <w:t>2</w:t>
    </w:r>
    <w:r>
      <w:rPr>
        <w:rFonts w:ascii="Cambria" w:eastAsia="Cambria" w:hAnsi="Cambria" w:cs="Cambria"/>
        <w:color w:val="000000"/>
        <w:sz w:val="24"/>
        <w:szCs w:val="24"/>
      </w:rPr>
      <w:fldChar w:fldCharType="end"/>
    </w:r>
  </w:p>
  <w:p w14:paraId="00000086" w14:textId="77777777" w:rsidR="00D168A3" w:rsidRDefault="00D168A3">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7" w14:textId="77777777" w:rsidR="00D168A3" w:rsidRDefault="007D57ED">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r>
      <w:rPr>
        <w:noProof/>
      </w:rPr>
      <mc:AlternateContent>
        <mc:Choice Requires="wps">
          <w:drawing>
            <wp:anchor distT="0" distB="0" distL="0" distR="0" simplePos="0" relativeHeight="251659264" behindDoc="0" locked="0" layoutInCell="1" hidden="0" allowOverlap="1" wp14:anchorId="5A2D725E" wp14:editId="1C8964C8">
              <wp:simplePos x="0" y="0"/>
              <wp:positionH relativeFrom="column">
                <wp:posOffset>-914399</wp:posOffset>
              </wp:positionH>
              <wp:positionV relativeFrom="paragraph">
                <wp:posOffset>0</wp:posOffset>
              </wp:positionV>
              <wp:extent cx="676275" cy="376555"/>
              <wp:effectExtent l="0" t="0" r="0" b="0"/>
              <wp:wrapNone/>
              <wp:docPr id="1767178833" name="Rectangle 1767178833" descr="Internal"/>
              <wp:cNvGraphicFramePr/>
              <a:graphic xmlns:a="http://schemas.openxmlformats.org/drawingml/2006/main">
                <a:graphicData uri="http://schemas.microsoft.com/office/word/2010/wordprocessingShape">
                  <wps:wsp>
                    <wps:cNvSpPr/>
                    <wps:spPr>
                      <a:xfrm>
                        <a:off x="5017388" y="3601248"/>
                        <a:ext cx="657225" cy="357505"/>
                      </a:xfrm>
                      <a:prstGeom prst="rect">
                        <a:avLst/>
                      </a:prstGeom>
                      <a:noFill/>
                      <a:ln>
                        <a:noFill/>
                      </a:ln>
                    </wps:spPr>
                    <wps:txbx>
                      <w:txbxContent>
                        <w:p w14:paraId="34239A26" w14:textId="77777777" w:rsidR="00D168A3" w:rsidRDefault="007D57ED">
                          <w:pPr>
                            <w:spacing w:after="0" w:line="258" w:lineRule="auto"/>
                            <w:textDirection w:val="btLr"/>
                          </w:pPr>
                          <w:r>
                            <w:rPr>
                              <w:rFonts w:ascii="Calibri" w:eastAsia="Calibri" w:hAnsi="Calibri" w:cs="Calibri"/>
                              <w:color w:val="000000"/>
                              <w:sz w:val="20"/>
                            </w:rPr>
                            <w:t>Internal</w:t>
                          </w:r>
                        </w:p>
                      </w:txbxContent>
                    </wps:txbx>
                    <wps:bodyPr spcFirstLastPara="1" wrap="square" lIns="254000" tIns="0" rIns="0" bIns="190500" anchor="b" anchorCtr="0">
                      <a:noAutofit/>
                    </wps:bodyPr>
                  </wps:wsp>
                </a:graphicData>
              </a:graphic>
            </wp:anchor>
          </w:drawing>
        </mc:Choice>
        <mc:Fallback>
          <w:pict>
            <v:rect w14:anchorId="5A2D725E" id="Rectangle 1767178833" o:spid="_x0000_s1027" alt="Internal" style="position:absolute;margin-left:-1in;margin-top:0;width:53.25pt;height:29.65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" filled="f" stroked="f">
              <v:textbox inset="20pt,0,0,15pt">
                <w:txbxContent>
                  <w:p w14:paraId="34239A26" w14:textId="77777777" w:rsidR="00D168A3" w:rsidRDefault="007D57ED">
                    <w:pPr>
                      <w:spacing w:after="0" w:line="258" w:lineRule="auto"/>
                      <w:textDirection w:val="btLr"/>
                    </w:pPr>
                    <w:r>
                      <w:rPr>
                        <w:rFonts w:ascii="Calibri" w:eastAsia="Calibri" w:hAnsi="Calibri" w:cs="Calibri"/>
                        <w:color w:val="000000"/>
                        <w:sz w:val="20"/>
                      </w:rPr>
                      <w:t>Internal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DB78E" w14:textId="77777777" w:rsidR="007D57ED" w:rsidRDefault="007D57ED">
      <w:pPr>
        <w:spacing w:after="0" w:line="240" w:lineRule="auto"/>
      </w:pPr>
      <w:r>
        <w:separator/>
      </w:r>
    </w:p>
  </w:footnote>
  <w:footnote w:type="continuationSeparator" w:id="0">
    <w:p w14:paraId="68FDC51A" w14:textId="77777777" w:rsidR="007D57ED" w:rsidRDefault="007D57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3" w14:textId="77777777" w:rsidR="00D168A3" w:rsidRDefault="007D57ED">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r>
      <w:rPr>
        <w:rFonts w:ascii="Cambria" w:eastAsia="Cambria" w:hAnsi="Cambria" w:cs="Cambria"/>
        <w:noProof/>
        <w:color w:val="000000"/>
        <w:sz w:val="24"/>
        <w:szCs w:val="24"/>
      </w:rPr>
      <w:drawing>
        <wp:anchor distT="0" distB="0" distL="0" distR="0" simplePos="0" relativeHeight="251658240" behindDoc="1" locked="0" layoutInCell="1" hidden="0" allowOverlap="1" wp14:anchorId="26434C31" wp14:editId="7ECEAF71">
          <wp:simplePos x="0" y="0"/>
          <wp:positionH relativeFrom="margin">
            <wp:align>left</wp:align>
          </wp:positionH>
          <wp:positionV relativeFrom="topMargin">
            <wp:posOffset>140298</wp:posOffset>
          </wp:positionV>
          <wp:extent cx="3069590" cy="818515"/>
          <wp:effectExtent l="0" t="0" r="0" b="0"/>
          <wp:wrapNone/>
          <wp:docPr id="1767178835" name="image1.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medium confidence"/>
                  <pic:cNvPicPr preferRelativeResize="0"/>
                </pic:nvPicPr>
                <pic:blipFill>
                  <a:blip r:embed="rId1"/>
                  <a:srcRect/>
                  <a:stretch>
                    <a:fillRect/>
                  </a:stretch>
                </pic:blipFill>
                <pic:spPr>
                  <a:xfrm>
                    <a:off x="0" y="0"/>
                    <a:ext cx="3069590" cy="8185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C0D01"/>
    <w:multiLevelType w:val="multilevel"/>
    <w:tmpl w:val="36B66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5F051146"/>
    <w:multiLevelType w:val="multilevel"/>
    <w:tmpl w:val="DE16A6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644F7840"/>
    <w:multiLevelType w:val="multilevel"/>
    <w:tmpl w:val="EF5EA7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890995536">
    <w:abstractNumId w:val="1"/>
  </w:num>
  <w:num w:numId="2" w16cid:durableId="792597122">
    <w:abstractNumId w:val="0"/>
  </w:num>
  <w:num w:numId="3" w16cid:durableId="37998710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 Seabright">
    <w15:presenceInfo w15:providerId="Windows Live" w15:userId="960b78e0053313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8A3"/>
    <w:rsid w:val="007373F6"/>
    <w:rsid w:val="00761D34"/>
    <w:rsid w:val="007D57ED"/>
    <w:rsid w:val="00D168A3"/>
    <w:rsid w:val="00DF4E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88CA5"/>
  <w15:docId w15:val="{371C44BF-F9E2-486B-92AC-083CBC44B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739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C6739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6739C"/>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6739C"/>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C6739C"/>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C673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73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73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73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73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6739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C6739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6739C"/>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6739C"/>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C6739C"/>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C673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73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73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739C"/>
    <w:rPr>
      <w:rFonts w:eastAsiaTheme="majorEastAsia" w:cstheme="majorBidi"/>
      <w:color w:val="272727" w:themeColor="text1" w:themeTint="D8"/>
    </w:rPr>
  </w:style>
  <w:style w:type="character" w:customStyle="1" w:styleId="TitleChar">
    <w:name w:val="Title Char"/>
    <w:basedOn w:val="DefaultParagraphFont"/>
    <w:link w:val="Title"/>
    <w:uiPriority w:val="10"/>
    <w:rsid w:val="00C673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673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739C"/>
    <w:pPr>
      <w:spacing w:before="160"/>
      <w:jc w:val="center"/>
    </w:pPr>
    <w:rPr>
      <w:i/>
      <w:iCs/>
      <w:color w:val="404040" w:themeColor="text1" w:themeTint="BF"/>
    </w:rPr>
  </w:style>
  <w:style w:type="character" w:customStyle="1" w:styleId="QuoteChar">
    <w:name w:val="Quote Char"/>
    <w:basedOn w:val="DefaultParagraphFont"/>
    <w:link w:val="Quote"/>
    <w:uiPriority w:val="29"/>
    <w:rsid w:val="00C6739C"/>
    <w:rPr>
      <w:i/>
      <w:iCs/>
      <w:color w:val="404040" w:themeColor="text1" w:themeTint="BF"/>
    </w:rPr>
  </w:style>
  <w:style w:type="paragraph" w:styleId="ListParagraph">
    <w:name w:val="List Paragraph"/>
    <w:basedOn w:val="Normal"/>
    <w:uiPriority w:val="34"/>
    <w:qFormat/>
    <w:rsid w:val="00C6739C"/>
    <w:pPr>
      <w:ind w:left="720"/>
      <w:contextualSpacing/>
    </w:pPr>
  </w:style>
  <w:style w:type="character" w:styleId="IntenseEmphasis">
    <w:name w:val="Intense Emphasis"/>
    <w:basedOn w:val="DefaultParagraphFont"/>
    <w:uiPriority w:val="21"/>
    <w:qFormat/>
    <w:rsid w:val="00C6739C"/>
    <w:rPr>
      <w:i/>
      <w:iCs/>
      <w:color w:val="2E74B5" w:themeColor="accent1" w:themeShade="BF"/>
    </w:rPr>
  </w:style>
  <w:style w:type="paragraph" w:styleId="IntenseQuote">
    <w:name w:val="Intense Quote"/>
    <w:basedOn w:val="Normal"/>
    <w:next w:val="Normal"/>
    <w:link w:val="IntenseQuoteChar"/>
    <w:uiPriority w:val="30"/>
    <w:qFormat/>
    <w:rsid w:val="00C6739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C6739C"/>
    <w:rPr>
      <w:i/>
      <w:iCs/>
      <w:color w:val="2E74B5" w:themeColor="accent1" w:themeShade="BF"/>
    </w:rPr>
  </w:style>
  <w:style w:type="character" w:styleId="IntenseReference">
    <w:name w:val="Intense Reference"/>
    <w:basedOn w:val="DefaultParagraphFont"/>
    <w:uiPriority w:val="32"/>
    <w:qFormat/>
    <w:rsid w:val="00C6739C"/>
    <w:rPr>
      <w:b/>
      <w:bCs/>
      <w:smallCaps/>
      <w:color w:val="2E74B5" w:themeColor="accent1" w:themeShade="BF"/>
      <w:spacing w:val="5"/>
    </w:rPr>
  </w:style>
  <w:style w:type="paragraph" w:styleId="FootnoteText">
    <w:name w:val="footnote text"/>
    <w:basedOn w:val="Normal"/>
    <w:link w:val="FootnoteTextChar"/>
    <w:uiPriority w:val="99"/>
    <w:semiHidden/>
    <w:unhideWhenUsed/>
    <w:rsid w:val="00F64B3B"/>
    <w:pPr>
      <w:spacing w:after="0" w:line="240" w:lineRule="auto"/>
    </w:pPr>
    <w:rPr>
      <w:rFonts w:ascii="Cambria" w:eastAsia="Cambria" w:hAnsi="Cambria" w:cs="Times New Roman"/>
      <w:sz w:val="24"/>
      <w:szCs w:val="24"/>
    </w:rPr>
  </w:style>
  <w:style w:type="character" w:customStyle="1" w:styleId="FootnoteTextChar">
    <w:name w:val="Footnote Text Char"/>
    <w:basedOn w:val="DefaultParagraphFont"/>
    <w:link w:val="FootnoteText"/>
    <w:uiPriority w:val="99"/>
    <w:semiHidden/>
    <w:rsid w:val="00F64B3B"/>
    <w:rPr>
      <w:rFonts w:ascii="Cambria" w:eastAsia="Cambria" w:hAnsi="Cambria" w:cs="Times New Roman"/>
      <w:kern w:val="0"/>
      <w:sz w:val="24"/>
      <w:szCs w:val="24"/>
    </w:rPr>
  </w:style>
  <w:style w:type="character" w:styleId="FootnoteReference">
    <w:name w:val="footnote reference"/>
    <w:uiPriority w:val="99"/>
    <w:semiHidden/>
    <w:unhideWhenUsed/>
    <w:rsid w:val="00F64B3B"/>
    <w:rPr>
      <w:vertAlign w:val="superscript"/>
    </w:rPr>
  </w:style>
  <w:style w:type="paragraph" w:styleId="Header">
    <w:name w:val="header"/>
    <w:basedOn w:val="Normal"/>
    <w:link w:val="HeaderChar"/>
    <w:uiPriority w:val="99"/>
    <w:unhideWhenUsed/>
    <w:rsid w:val="00F64B3B"/>
    <w:pPr>
      <w:tabs>
        <w:tab w:val="center" w:pos="4320"/>
        <w:tab w:val="right" w:pos="8640"/>
      </w:tabs>
      <w:spacing w:after="0" w:line="240" w:lineRule="auto"/>
    </w:pPr>
    <w:rPr>
      <w:rFonts w:ascii="Cambria" w:eastAsia="Cambria" w:hAnsi="Cambria" w:cs="Times New Roman"/>
      <w:sz w:val="24"/>
      <w:szCs w:val="24"/>
    </w:rPr>
  </w:style>
  <w:style w:type="character" w:customStyle="1" w:styleId="HeaderChar">
    <w:name w:val="Header Char"/>
    <w:basedOn w:val="DefaultParagraphFont"/>
    <w:link w:val="Header"/>
    <w:uiPriority w:val="99"/>
    <w:rsid w:val="00F64B3B"/>
    <w:rPr>
      <w:rFonts w:ascii="Cambria" w:eastAsia="Cambria" w:hAnsi="Cambria" w:cs="Times New Roman"/>
      <w:kern w:val="0"/>
      <w:sz w:val="24"/>
      <w:szCs w:val="24"/>
    </w:rPr>
  </w:style>
  <w:style w:type="paragraph" w:styleId="Footer">
    <w:name w:val="footer"/>
    <w:basedOn w:val="Normal"/>
    <w:link w:val="FooterChar"/>
    <w:uiPriority w:val="99"/>
    <w:unhideWhenUsed/>
    <w:rsid w:val="00F64B3B"/>
    <w:pPr>
      <w:tabs>
        <w:tab w:val="center" w:pos="4320"/>
        <w:tab w:val="right" w:pos="8640"/>
      </w:tabs>
      <w:spacing w:after="0" w:line="240" w:lineRule="auto"/>
    </w:pPr>
    <w:rPr>
      <w:rFonts w:ascii="Cambria" w:eastAsia="Cambria" w:hAnsi="Cambria" w:cs="Times New Roman"/>
      <w:sz w:val="24"/>
      <w:szCs w:val="24"/>
    </w:rPr>
  </w:style>
  <w:style w:type="character" w:customStyle="1" w:styleId="FooterChar">
    <w:name w:val="Footer Char"/>
    <w:basedOn w:val="DefaultParagraphFont"/>
    <w:link w:val="Footer"/>
    <w:uiPriority w:val="99"/>
    <w:rsid w:val="00F64B3B"/>
    <w:rPr>
      <w:rFonts w:ascii="Cambria" w:eastAsia="Cambria" w:hAnsi="Cambria" w:cs="Times New Roman"/>
      <w:kern w:val="0"/>
      <w:sz w:val="24"/>
      <w:szCs w:val="24"/>
    </w:rPr>
  </w:style>
  <w:style w:type="table" w:styleId="TableGrid">
    <w:name w:val="Table Grid"/>
    <w:basedOn w:val="TableNormal"/>
    <w:uiPriority w:val="39"/>
    <w:rsid w:val="00C15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97482"/>
    <w:pPr>
      <w:spacing w:after="0" w:line="240" w:lineRule="auto"/>
    </w:pPr>
  </w:style>
  <w:style w:type="character" w:styleId="CommentReference">
    <w:name w:val="annotation reference"/>
    <w:basedOn w:val="DefaultParagraphFont"/>
    <w:uiPriority w:val="99"/>
    <w:semiHidden/>
    <w:unhideWhenUsed/>
    <w:rsid w:val="00400BC7"/>
    <w:rPr>
      <w:sz w:val="16"/>
      <w:szCs w:val="16"/>
    </w:rPr>
  </w:style>
  <w:style w:type="paragraph" w:styleId="CommentText">
    <w:name w:val="annotation text"/>
    <w:basedOn w:val="Normal"/>
    <w:link w:val="CommentTextChar"/>
    <w:uiPriority w:val="99"/>
    <w:unhideWhenUsed/>
    <w:rsid w:val="00400BC7"/>
    <w:pPr>
      <w:spacing w:line="240" w:lineRule="auto"/>
    </w:pPr>
    <w:rPr>
      <w:sz w:val="20"/>
      <w:szCs w:val="20"/>
    </w:rPr>
  </w:style>
  <w:style w:type="character" w:customStyle="1" w:styleId="CommentTextChar">
    <w:name w:val="Comment Text Char"/>
    <w:basedOn w:val="DefaultParagraphFont"/>
    <w:link w:val="CommentText"/>
    <w:uiPriority w:val="99"/>
    <w:rsid w:val="00400BC7"/>
    <w:rPr>
      <w:sz w:val="20"/>
      <w:szCs w:val="20"/>
    </w:rPr>
  </w:style>
  <w:style w:type="paragraph" w:styleId="CommentSubject">
    <w:name w:val="annotation subject"/>
    <w:basedOn w:val="CommentText"/>
    <w:next w:val="CommentText"/>
    <w:link w:val="CommentSubjectChar"/>
    <w:uiPriority w:val="99"/>
    <w:semiHidden/>
    <w:unhideWhenUsed/>
    <w:rsid w:val="00400BC7"/>
    <w:rPr>
      <w:b/>
      <w:bCs/>
    </w:rPr>
  </w:style>
  <w:style w:type="character" w:customStyle="1" w:styleId="CommentSubjectChar">
    <w:name w:val="Comment Subject Char"/>
    <w:basedOn w:val="CommentTextChar"/>
    <w:link w:val="CommentSubject"/>
    <w:uiPriority w:val="99"/>
    <w:semiHidden/>
    <w:rsid w:val="00400BC7"/>
    <w:rPr>
      <w:b/>
      <w:bCs/>
      <w:sz w:val="20"/>
      <w:szCs w:val="20"/>
    </w:rPr>
  </w:style>
  <w:style w:type="paragraph" w:styleId="NormalWeb">
    <w:name w:val="Normal (Web)"/>
    <w:basedOn w:val="Normal"/>
    <w:uiPriority w:val="99"/>
    <w:semiHidden/>
    <w:unhideWhenUsed/>
    <w:rsid w:val="00E41CB0"/>
    <w:rPr>
      <w:rFonts w:ascii="Times New Roman" w:hAnsi="Times New Roman" w:cs="Times New Roman"/>
      <w:sz w:val="24"/>
      <w:szCs w:val="24"/>
    </w:rPr>
  </w:style>
  <w:style w:type="character" w:styleId="Strong">
    <w:name w:val="Strong"/>
    <w:basedOn w:val="DefaultParagraphFont"/>
    <w:uiPriority w:val="22"/>
    <w:qFormat/>
    <w:rsid w:val="00E41CB0"/>
    <w:rPr>
      <w:b/>
      <w:bCs/>
    </w:rPr>
  </w:style>
  <w:style w:type="character" w:styleId="Hyperlink">
    <w:name w:val="Hyperlink"/>
    <w:basedOn w:val="DefaultParagraphFont"/>
    <w:uiPriority w:val="99"/>
    <w:unhideWhenUsed/>
    <w:rsid w:val="002D2886"/>
    <w:rPr>
      <w:color w:val="0563C1" w:themeColor="hyperlink"/>
      <w:u w:val="single"/>
    </w:rPr>
  </w:style>
  <w:style w:type="character" w:styleId="UnresolvedMention">
    <w:name w:val="Unresolved Mention"/>
    <w:basedOn w:val="DefaultParagraphFont"/>
    <w:uiPriority w:val="99"/>
    <w:semiHidden/>
    <w:unhideWhenUsed/>
    <w:rsid w:val="002D2886"/>
    <w:rPr>
      <w:color w:val="605E5C"/>
      <w:shd w:val="clear" w:color="auto" w:fill="E1DFDD"/>
    </w:rPr>
  </w:style>
  <w:style w:type="character" w:styleId="FollowedHyperlink">
    <w:name w:val="FollowedHyperlink"/>
    <w:basedOn w:val="DefaultParagraphFont"/>
    <w:uiPriority w:val="99"/>
    <w:semiHidden/>
    <w:unhideWhenUsed/>
    <w:rsid w:val="00C63C8B"/>
    <w:rPr>
      <w:color w:val="954F72" w:themeColor="followed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esdoc.unesco.org/ark:/48223/pf0000190604" TargetMode="External"/><Relationship Id="rId5" Type="http://schemas.openxmlformats.org/officeDocument/2006/relationships/webSettings" Target="webSettings.xml"/><Relationship Id="rId15" Type="http://schemas.openxmlformats.org/officeDocument/2006/relationships/header" Target="header1.xml"/><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XknNbS6IgJRGYGZOc4vO4TBvXg==">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BF11AF2F54683D48B47D51E7C5C20D0A" ma:contentTypeVersion="20" ma:contentTypeDescription="Create a new document." ma:contentTypeScope="" ma:versionID="391f90643201f9ffdabe06ca0db014d7">
  <xsd:schema xmlns:xsd="http://www.w3.org/2001/XMLSchema" xmlns:xs="http://www.w3.org/2001/XMLSchema" xmlns:p="http://schemas.microsoft.com/office/2006/metadata/properties" xmlns:ns2="7a2ce8f2-2204-4367-a41c-b735e7c03037" xmlns:ns3="f53cdae7-58e9-463a-80c4-ff1f1a52caeb" targetNamespace="http://schemas.microsoft.com/office/2006/metadata/properties" ma:root="true" ma:fieldsID="462a31d4e41dfc891f10662d5db253e6" ns2:_="" ns3:_="">
    <xsd:import namespace="7a2ce8f2-2204-4367-a41c-b735e7c03037"/>
    <xsd:import namespace="f53cdae7-58e9-463a-80c4-ff1f1a52ca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2ce8f2-2204-4367-a41c-b735e7c030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f481388-e4f2-439f-bf9b-2973949102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3cdae7-58e9-463a-80c4-ff1f1a52ca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80ac432-b52e-4b43-bc4d-225ae3d48219}" ma:internalName="TaxCatchAll" ma:showField="CatchAllData" ma:web="f53cdae7-58e9-463a-80c4-ff1f1a52ca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53cdae7-58e9-463a-80c4-ff1f1a52caeb" xsi:nil="true"/>
    <lcf76f155ced4ddcb4097134ff3c332f xmlns="7a2ce8f2-2204-4367-a41c-b735e7c0303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7CAC95B2-ED78-4EB0-86CE-2845AB86FA95}"/>
</file>

<file path=customXml/itemProps3.xml><?xml version="1.0" encoding="utf-8"?>
<ds:datastoreItem xmlns:ds="http://schemas.openxmlformats.org/officeDocument/2006/customXml" ds:itemID="{E0E7265F-9E29-4447-82FA-B3272329156B}"/>
</file>

<file path=customXml/itemProps4.xml><?xml version="1.0" encoding="utf-8"?>
<ds:datastoreItem xmlns:ds="http://schemas.openxmlformats.org/officeDocument/2006/customXml" ds:itemID="{8ECD37D6-8924-4948-8537-447D7357499F}"/>
</file>

<file path=docProps/app.xml><?xml version="1.0" encoding="utf-8"?>
<Properties xmlns="http://schemas.openxmlformats.org/officeDocument/2006/extended-properties" xmlns:vt="http://schemas.openxmlformats.org/officeDocument/2006/docPropsVTypes">
  <Template>Normal</Template>
  <TotalTime>73</TotalTime>
  <Pages>3</Pages>
  <Words>1124</Words>
  <Characters>6407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Ketty Ndhlovu</dc:creator>
  <cp:lastModifiedBy>Viv Seabright</cp:lastModifiedBy>
  <cp:revision>3</cp:revision>
  <dcterms:created xsi:type="dcterms:W3CDTF">2025-05-15T10:30:00Z</dcterms:created>
  <dcterms:modified xsi:type="dcterms:W3CDTF">2025-05-15T10:31:00Z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820dc528af5c25db49057c27d1a44b7421dbf855ae28b133653a048481e78673</vt:lpwstr>
  </property>
  <property fmtid="{D5CDD505-2E9C-101B-9397-08002B2CF9AE}" pid="3" name="Mendeley Document_1">
    <vt:lpwstr>True</vt:lpwstr>
  </property>
  <property fmtid="{D5CDD505-2E9C-101B-9397-08002B2CF9AE}" pid="4" name="Mendeley Citation Style_1">
    <vt:lpwstr>http://www.zotero.org/styles/vancouver</vt:lpwstr>
  </property>
  <property fmtid="{D5CDD505-2E9C-101B-9397-08002B2CF9AE}" pid="5" name="Mendeley Unique User Id_1">
    <vt:lpwstr>f411c058-73a7-35df-a6d5-9c897562a2c4</vt:lpwstr>
  </property>
  <property fmtid="{D5CDD505-2E9C-101B-9397-08002B2CF9AE}" pid="6" name="ClassificationContentMarkingFooterShapeIds">
    <vt:lpwstr>6955024d,14d6411,4382406b</vt:lpwstr>
  </property>
  <property fmtid="{D5CDD505-2E9C-101B-9397-08002B2CF9AE}" pid="7" name="ClassificationContentMarkingFooterFontProps">
    <vt:lpwstr>#000000,10,Calibri</vt:lpwstr>
  </property>
  <property fmtid="{D5CDD505-2E9C-101B-9397-08002B2CF9AE}" pid="8" name="ClassificationContentMarkingFooterText">
    <vt:lpwstr>Internal</vt:lpwstr>
  </property>
  <property fmtid="{D5CDD505-2E9C-101B-9397-08002B2CF9AE}" pid="9" name="MSIP_Label_6627b15a-80ec-4ef7-8353-f32e3c89bf3e_Enabled">
    <vt:lpwstr>true</vt:lpwstr>
  </property>
  <property fmtid="{D5CDD505-2E9C-101B-9397-08002B2CF9AE}" pid="10" name="MSIP_Label_6627b15a-80ec-4ef7-8353-f32e3c89bf3e_SetDate">
    <vt:lpwstr>2025-03-06T05:34:12Z</vt:lpwstr>
  </property>
  <property fmtid="{D5CDD505-2E9C-101B-9397-08002B2CF9AE}" pid="11" name="MSIP_Label_6627b15a-80ec-4ef7-8353-f32e3c89bf3e_Method">
    <vt:lpwstr>Privileged</vt:lpwstr>
  </property>
  <property fmtid="{D5CDD505-2E9C-101B-9397-08002B2CF9AE}" pid="12" name="MSIP_Label_6627b15a-80ec-4ef7-8353-f32e3c89bf3e_Name">
    <vt:lpwstr>IFRC Internal</vt:lpwstr>
  </property>
  <property fmtid="{D5CDD505-2E9C-101B-9397-08002B2CF9AE}" pid="13" name="MSIP_Label_6627b15a-80ec-4ef7-8353-f32e3c89bf3e_SiteId">
    <vt:lpwstr>a2b53be5-734e-4e6c-ab0d-d184f60fd917</vt:lpwstr>
  </property>
  <property fmtid="{D5CDD505-2E9C-101B-9397-08002B2CF9AE}" pid="14" name="MSIP_Label_6627b15a-80ec-4ef7-8353-f32e3c89bf3e_ActionId">
    <vt:lpwstr>a4ebf7a2-095d-4784-b676-7e9964ddce24</vt:lpwstr>
  </property>
  <property fmtid="{D5CDD505-2E9C-101B-9397-08002B2CF9AE}" pid="15" name="MSIP_Label_6627b15a-80ec-4ef7-8353-f32e3c89bf3e_ContentBits">
    <vt:lpwstr>2</vt:lpwstr>
  </property>
  <property fmtid="{D5CDD505-2E9C-101B-9397-08002B2CF9AE}" pid="16" name="MSIP_Label_6627b15a-80ec-4ef7-8353-f32e3c89bf3e_Tag">
    <vt:lpwstr>10, 0, 1, 1</vt:lpwstr>
  </property>
  <property fmtid="{D5CDD505-2E9C-101B-9397-08002B2CF9AE}" pid="17" name="ContentTypeId">
    <vt:lpwstr>0x010100BF11AF2F54683D48B47D51E7C5C20D0A</vt:lpwstr>
  </property>
  <property fmtid="{D5CDD505-2E9C-101B-9397-08002B2CF9AE}" pid="18" name="MediaServiceImageTags">
    <vt:lpwstr/>
  </property>
</Properties>
</file>